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976F0C"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00266ADC" w:rsidRPr="00976F0C">
        <w:rPr>
          <w:rFonts w:ascii="Arial" w:hAnsi="Arial" w:cs="Arial"/>
          <w:color w:val="4BACC6" w:themeColor="accent5"/>
          <w:sz w:val="24"/>
          <w:szCs w:val="24"/>
        </w:rPr>
        <w:t xml:space="preserve">                                                                       </w:t>
      </w:r>
      <w:r w:rsidR="00C7664A" w:rsidRPr="00976F0C">
        <w:rPr>
          <w:rFonts w:ascii="Arial" w:hAnsi="Arial" w:cs="Arial"/>
          <w:color w:val="4BACC6" w:themeColor="accent5"/>
          <w:sz w:val="24"/>
          <w:szCs w:val="24"/>
        </w:rPr>
        <w:t xml:space="preserve">                        </w:t>
      </w:r>
      <w:r w:rsidR="00C0019F" w:rsidRPr="00976F0C">
        <w:rPr>
          <w:rFonts w:ascii="Arial" w:hAnsi="Arial" w:cs="Arial"/>
          <w:color w:val="4BACC6" w:themeColor="accent5"/>
          <w:sz w:val="24"/>
          <w:szCs w:val="24"/>
        </w:rPr>
        <w:t xml:space="preserve">               </w:t>
      </w:r>
      <w:r w:rsidR="00B84B92" w:rsidRPr="00976F0C">
        <w:rPr>
          <w:rFonts w:ascii="Arial" w:hAnsi="Arial" w:cs="Arial"/>
          <w:color w:val="4BACC6" w:themeColor="accent5"/>
          <w:sz w:val="24"/>
          <w:szCs w:val="24"/>
        </w:rPr>
        <w:t xml:space="preserve">   </w:t>
      </w:r>
      <w:r w:rsidR="000A4F5D" w:rsidRPr="00976F0C">
        <w:rPr>
          <w:rFonts w:ascii="Arial" w:hAnsi="Arial" w:cs="Arial"/>
          <w:color w:val="4BACC6" w:themeColor="accent5"/>
          <w:sz w:val="24"/>
          <w:szCs w:val="24"/>
        </w:rPr>
        <w:t xml:space="preserve">  </w:t>
      </w:r>
      <w:r w:rsidR="008D0A3C" w:rsidRPr="00976F0C">
        <w:rPr>
          <w:rFonts w:ascii="Arial" w:hAnsi="Arial" w:cs="Arial"/>
          <w:color w:val="4BACC6" w:themeColor="accent5"/>
          <w:sz w:val="24"/>
          <w:szCs w:val="24"/>
        </w:rPr>
        <w:t xml:space="preserve">    </w:t>
      </w:r>
      <w:r w:rsidR="006F5A3A" w:rsidRPr="00976F0C">
        <w:rPr>
          <w:rFonts w:ascii="Arial" w:hAnsi="Arial" w:cs="Arial"/>
          <w:color w:val="4BACC6" w:themeColor="accent5"/>
          <w:sz w:val="24"/>
          <w:szCs w:val="24"/>
        </w:rPr>
        <w:t xml:space="preserve">        </w:t>
      </w:r>
      <w:r w:rsidR="00F14988" w:rsidRPr="00976F0C">
        <w:rPr>
          <w:rFonts w:ascii="Arial" w:hAnsi="Arial" w:cs="Arial"/>
          <w:color w:val="4BACC6" w:themeColor="accent5"/>
          <w:sz w:val="24"/>
          <w:szCs w:val="24"/>
        </w:rPr>
        <w:t xml:space="preserve">     </w:t>
      </w:r>
      <w:bookmarkStart w:id="0" w:name="_Hlk500937475"/>
      <w:r w:rsidR="00A04BCB" w:rsidRPr="00976F0C">
        <w:rPr>
          <w:rFonts w:ascii="Arial" w:hAnsi="Arial" w:cs="Arial"/>
          <w:color w:val="4BACC6" w:themeColor="accent5"/>
          <w:sz w:val="24"/>
          <w:szCs w:val="24"/>
        </w:rPr>
        <w:t xml:space="preserve">San Luis Potosí, </w:t>
      </w:r>
      <w:r w:rsidR="002D0070" w:rsidRPr="00976F0C">
        <w:rPr>
          <w:rFonts w:ascii="Arial" w:hAnsi="Arial" w:cs="Arial"/>
          <w:color w:val="4BACC6" w:themeColor="accent5"/>
          <w:sz w:val="24"/>
          <w:szCs w:val="24"/>
        </w:rPr>
        <w:t>S.L.P.</w:t>
      </w:r>
      <w:r w:rsidR="00A04BCB" w:rsidRPr="00976F0C">
        <w:rPr>
          <w:rFonts w:ascii="Arial" w:hAnsi="Arial" w:cs="Arial"/>
          <w:color w:val="4BACC6" w:themeColor="accent5"/>
          <w:sz w:val="24"/>
          <w:szCs w:val="24"/>
        </w:rPr>
        <w:t xml:space="preserve">, </w:t>
      </w:r>
      <w:r w:rsidR="008E68F1">
        <w:rPr>
          <w:rFonts w:ascii="Arial" w:hAnsi="Arial" w:cs="Arial"/>
          <w:color w:val="4BACC6" w:themeColor="accent5"/>
          <w:sz w:val="24"/>
          <w:szCs w:val="24"/>
        </w:rPr>
        <w:t>quince</w:t>
      </w:r>
      <w:r w:rsidR="00E8006D">
        <w:rPr>
          <w:rFonts w:ascii="Arial" w:hAnsi="Arial" w:cs="Arial"/>
          <w:color w:val="4BACC6" w:themeColor="accent5"/>
          <w:sz w:val="24"/>
          <w:szCs w:val="24"/>
        </w:rPr>
        <w:t xml:space="preserve"> de febrero </w:t>
      </w:r>
      <w:r w:rsidR="00BA353F" w:rsidRPr="00976F0C">
        <w:rPr>
          <w:rFonts w:ascii="Arial" w:hAnsi="Arial" w:cs="Arial"/>
          <w:color w:val="4BACC6" w:themeColor="accent5"/>
          <w:sz w:val="24"/>
          <w:szCs w:val="24"/>
        </w:rPr>
        <w:t>de dos mil dieciocho</w:t>
      </w:r>
      <w:r w:rsidR="00A04BCB" w:rsidRPr="00976F0C">
        <w:rPr>
          <w:rFonts w:ascii="Arial" w:hAnsi="Arial" w:cs="Arial"/>
          <w:color w:val="4BACC6" w:themeColor="accent5"/>
          <w:sz w:val="24"/>
          <w:szCs w:val="24"/>
        </w:rPr>
        <w:t>.</w:t>
      </w:r>
      <w:r w:rsidR="006F5A3A" w:rsidRPr="00976F0C">
        <w:rPr>
          <w:rFonts w:ascii="Arial" w:hAnsi="Arial" w:cs="Arial"/>
          <w:color w:val="4BACC6" w:themeColor="accent5"/>
          <w:sz w:val="24"/>
          <w:szCs w:val="24"/>
        </w:rPr>
        <w:t xml:space="preserve">    </w:t>
      </w:r>
    </w:p>
    <w:p w:rsidR="00AC1F24" w:rsidRPr="00976F0C"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976F0C" w:rsidRDefault="0038176B" w:rsidP="00BA353F">
      <w:pPr>
        <w:spacing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Visto el estado que guardan los presentes autos y de una revisión a las constancias que integran el expediente c</w:t>
      </w:r>
      <w:r w:rsidR="00774BC8" w:rsidRPr="00976F0C">
        <w:rPr>
          <w:rFonts w:ascii="Arial" w:hAnsi="Arial" w:cs="Arial"/>
          <w:color w:val="4BACC6" w:themeColor="accent5"/>
          <w:sz w:val="24"/>
          <w:szCs w:val="24"/>
        </w:rPr>
        <w:t>o</w:t>
      </w:r>
      <w:r w:rsidR="001A14C5" w:rsidRPr="00976F0C">
        <w:rPr>
          <w:rFonts w:ascii="Arial" w:hAnsi="Arial" w:cs="Arial"/>
          <w:color w:val="4BACC6" w:themeColor="accent5"/>
          <w:sz w:val="24"/>
          <w:szCs w:val="24"/>
        </w:rPr>
        <w:t>n fundamento en los artículos 8°, 10°, 27° primer párrafo, 184 y 185 de la Ley de Transparencia y Acceso a la Información Pública del Estado, es</w:t>
      </w:r>
      <w:r w:rsidRPr="00976F0C">
        <w:rPr>
          <w:rFonts w:ascii="Arial" w:hAnsi="Arial" w:cs="Arial"/>
          <w:color w:val="4BACC6" w:themeColor="accent5"/>
          <w:sz w:val="24"/>
          <w:szCs w:val="24"/>
        </w:rPr>
        <w:t xml:space="preserve">ta Comisión procede a analizar el presente sumario </w:t>
      </w:r>
      <w:r w:rsidR="001A14C5" w:rsidRPr="00976F0C">
        <w:rPr>
          <w:rFonts w:ascii="Arial" w:hAnsi="Arial" w:cs="Arial"/>
          <w:color w:val="4BACC6" w:themeColor="accent5"/>
          <w:sz w:val="24"/>
          <w:szCs w:val="24"/>
        </w:rPr>
        <w:t>a efecto de determinar el cumplimi</w:t>
      </w:r>
      <w:r w:rsidRPr="00976F0C">
        <w:rPr>
          <w:rFonts w:ascii="Arial" w:hAnsi="Arial" w:cs="Arial"/>
          <w:color w:val="4BACC6" w:themeColor="accent5"/>
          <w:sz w:val="24"/>
          <w:szCs w:val="24"/>
        </w:rPr>
        <w:t>ento o incumplimiento a la resolu</w:t>
      </w:r>
      <w:r w:rsidR="001A3205" w:rsidRPr="00976F0C">
        <w:rPr>
          <w:rFonts w:ascii="Arial" w:hAnsi="Arial" w:cs="Arial"/>
          <w:color w:val="4BACC6" w:themeColor="accent5"/>
          <w:sz w:val="24"/>
          <w:szCs w:val="24"/>
        </w:rPr>
        <w:t>ción dictada en el recurso de rev</w:t>
      </w:r>
      <w:r w:rsidR="00F35188" w:rsidRPr="00976F0C">
        <w:rPr>
          <w:rFonts w:ascii="Arial" w:hAnsi="Arial" w:cs="Arial"/>
          <w:color w:val="4BACC6" w:themeColor="accent5"/>
          <w:sz w:val="24"/>
          <w:szCs w:val="24"/>
        </w:rPr>
        <w:t xml:space="preserve">isión que se </w:t>
      </w:r>
      <w:r w:rsidR="002D371A" w:rsidRPr="00976F0C">
        <w:rPr>
          <w:rFonts w:ascii="Arial" w:hAnsi="Arial" w:cs="Arial"/>
          <w:color w:val="4BACC6" w:themeColor="accent5"/>
          <w:sz w:val="24"/>
          <w:szCs w:val="24"/>
        </w:rPr>
        <w:t>actúa.</w:t>
      </w:r>
    </w:p>
    <w:p w:rsidR="002D371A" w:rsidRPr="00976F0C" w:rsidRDefault="001A14C5" w:rsidP="00BA353F">
      <w:pPr>
        <w:spacing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En p</w:t>
      </w:r>
      <w:r w:rsidR="002D371A" w:rsidRPr="00976F0C">
        <w:rPr>
          <w:rFonts w:ascii="Arial" w:hAnsi="Arial" w:cs="Arial"/>
          <w:color w:val="4BACC6" w:themeColor="accent5"/>
          <w:sz w:val="24"/>
          <w:szCs w:val="24"/>
        </w:rPr>
        <w:t xml:space="preserve">rimer lugar, es necesario insertar </w:t>
      </w:r>
      <w:r w:rsidR="00E135A8">
        <w:rPr>
          <w:rFonts w:ascii="Arial" w:hAnsi="Arial" w:cs="Arial"/>
          <w:color w:val="4BACC6" w:themeColor="accent5"/>
          <w:sz w:val="24"/>
          <w:szCs w:val="24"/>
        </w:rPr>
        <w:t>e</w:t>
      </w:r>
      <w:r w:rsidR="002D371A" w:rsidRPr="00976F0C">
        <w:rPr>
          <w:rFonts w:ascii="Arial" w:hAnsi="Arial" w:cs="Arial"/>
          <w:color w:val="4BACC6" w:themeColor="accent5"/>
          <w:sz w:val="24"/>
          <w:szCs w:val="24"/>
        </w:rPr>
        <w:t xml:space="preserve">l </w:t>
      </w:r>
      <w:r w:rsidR="00941158">
        <w:rPr>
          <w:rFonts w:ascii="Arial" w:hAnsi="Arial" w:cs="Arial"/>
          <w:color w:val="4BACC6" w:themeColor="accent5"/>
          <w:sz w:val="24"/>
          <w:szCs w:val="24"/>
        </w:rPr>
        <w:t>sentido y efectos de la resolución</w:t>
      </w:r>
      <w:r w:rsidR="00E135A8">
        <w:rPr>
          <w:rFonts w:ascii="Arial" w:hAnsi="Arial" w:cs="Arial"/>
          <w:color w:val="4BACC6" w:themeColor="accent5"/>
          <w:sz w:val="24"/>
          <w:szCs w:val="24"/>
        </w:rPr>
        <w:t>:</w:t>
      </w:r>
    </w:p>
    <w:p w:rsidR="00941158" w:rsidRPr="000813AB" w:rsidRDefault="00090736" w:rsidP="00E84556">
      <w:pPr>
        <w:pStyle w:val="corte4fondo"/>
        <w:tabs>
          <w:tab w:val="left" w:pos="567"/>
        </w:tabs>
        <w:rPr>
          <w:rFonts w:cs="Arial"/>
          <w:i/>
          <w:color w:val="4BACC6" w:themeColor="accent5"/>
          <w:sz w:val="22"/>
          <w:szCs w:val="22"/>
        </w:rPr>
      </w:pPr>
      <w:r w:rsidRPr="000813AB">
        <w:rPr>
          <w:rFonts w:cs="Arial"/>
          <w:i/>
          <w:color w:val="4BACC6" w:themeColor="accent5"/>
          <w:sz w:val="22"/>
          <w:szCs w:val="22"/>
        </w:rPr>
        <w:t>“…</w:t>
      </w:r>
      <w:r w:rsidR="00941158" w:rsidRPr="000813AB">
        <w:rPr>
          <w:rFonts w:cs="Arial"/>
          <w:i/>
          <w:color w:val="4BACC6" w:themeColor="accent5"/>
          <w:sz w:val="22"/>
          <w:szCs w:val="22"/>
        </w:rPr>
        <w:t>6.</w:t>
      </w:r>
      <w:r w:rsidR="008E68F1" w:rsidRPr="000813AB">
        <w:rPr>
          <w:rFonts w:cs="Arial"/>
          <w:i/>
          <w:color w:val="4BACC6" w:themeColor="accent5"/>
          <w:sz w:val="22"/>
          <w:szCs w:val="22"/>
        </w:rPr>
        <w:t>1</w:t>
      </w:r>
      <w:r w:rsidR="00941158" w:rsidRPr="000813AB">
        <w:rPr>
          <w:rFonts w:cs="Arial"/>
          <w:i/>
          <w:color w:val="4BACC6" w:themeColor="accent5"/>
          <w:sz w:val="22"/>
          <w:szCs w:val="22"/>
        </w:rPr>
        <w:t xml:space="preserve">. </w:t>
      </w:r>
      <w:r w:rsidR="00E8006D" w:rsidRPr="000813AB">
        <w:rPr>
          <w:rFonts w:cs="Arial"/>
          <w:i/>
          <w:color w:val="4BACC6" w:themeColor="accent5"/>
          <w:sz w:val="22"/>
          <w:szCs w:val="22"/>
        </w:rPr>
        <w:t>Sentido y e</w:t>
      </w:r>
      <w:r w:rsidR="00941158" w:rsidRPr="000813AB">
        <w:rPr>
          <w:rFonts w:cs="Arial"/>
          <w:i/>
          <w:color w:val="4BACC6" w:themeColor="accent5"/>
          <w:sz w:val="22"/>
          <w:szCs w:val="22"/>
        </w:rPr>
        <w:t>fectos de esta resolución.</w:t>
      </w:r>
    </w:p>
    <w:p w:rsidR="00941158" w:rsidRPr="000813AB" w:rsidRDefault="00941158" w:rsidP="00E84556">
      <w:pPr>
        <w:pStyle w:val="corte4fondo"/>
        <w:tabs>
          <w:tab w:val="left" w:pos="567"/>
        </w:tabs>
        <w:rPr>
          <w:rFonts w:cs="Arial"/>
          <w:b/>
          <w:i/>
          <w:color w:val="4BACC6" w:themeColor="accent5"/>
          <w:sz w:val="22"/>
          <w:szCs w:val="22"/>
        </w:rPr>
      </w:pPr>
    </w:p>
    <w:p w:rsidR="00941158" w:rsidRPr="000813AB" w:rsidRDefault="00941158" w:rsidP="00E84556">
      <w:pPr>
        <w:pStyle w:val="corte4fondo"/>
        <w:tabs>
          <w:tab w:val="left" w:pos="567"/>
        </w:tabs>
        <w:rPr>
          <w:rFonts w:cs="Arial"/>
          <w:i/>
          <w:color w:val="4BACC6" w:themeColor="accent5"/>
          <w:sz w:val="22"/>
          <w:szCs w:val="22"/>
        </w:rPr>
      </w:pPr>
      <w:r w:rsidRPr="000813AB">
        <w:rPr>
          <w:rFonts w:cs="Arial"/>
          <w:i/>
          <w:color w:val="4BACC6" w:themeColor="accent5"/>
          <w:sz w:val="22"/>
          <w:szCs w:val="22"/>
        </w:rPr>
        <w:t xml:space="preserve"> Por las consideraciones expuestas, esta Comisión Estatal de Garantía de Acceso a la Información Pública de conformidad con el artículo 175</w:t>
      </w:r>
      <w:r w:rsidR="00E8006D" w:rsidRPr="000813AB">
        <w:rPr>
          <w:rFonts w:cs="Arial"/>
          <w:i/>
          <w:color w:val="4BACC6" w:themeColor="accent5"/>
          <w:sz w:val="22"/>
          <w:szCs w:val="22"/>
        </w:rPr>
        <w:t>,</w:t>
      </w:r>
      <w:r w:rsidRPr="000813AB">
        <w:rPr>
          <w:rFonts w:cs="Arial"/>
          <w:i/>
          <w:color w:val="4BACC6" w:themeColor="accent5"/>
          <w:sz w:val="22"/>
          <w:szCs w:val="22"/>
        </w:rPr>
        <w:t xml:space="preserve"> fracción III de la Ley de Transparencia y Acceso a la Información Pública del Estado </w:t>
      </w:r>
      <w:r w:rsidR="008E68F1" w:rsidRPr="000813AB">
        <w:rPr>
          <w:rFonts w:cs="Arial"/>
          <w:b/>
          <w:i/>
          <w:color w:val="4BACC6" w:themeColor="accent5"/>
          <w:sz w:val="22"/>
          <w:szCs w:val="22"/>
        </w:rPr>
        <w:t>MODIFICA</w:t>
      </w:r>
      <w:r w:rsidRPr="000813AB">
        <w:rPr>
          <w:rFonts w:cs="Arial"/>
          <w:i/>
          <w:color w:val="4BACC6" w:themeColor="accent5"/>
          <w:sz w:val="22"/>
          <w:szCs w:val="22"/>
        </w:rPr>
        <w:t xml:space="preserve"> la respuesta </w:t>
      </w:r>
      <w:r w:rsidR="008E68F1" w:rsidRPr="000813AB">
        <w:rPr>
          <w:rFonts w:cs="Arial"/>
          <w:i/>
          <w:color w:val="4BACC6" w:themeColor="accent5"/>
          <w:sz w:val="22"/>
          <w:szCs w:val="22"/>
        </w:rPr>
        <w:t>proporcionada por el ente obligado y lo conmina para que proporcione al particular</w:t>
      </w:r>
      <w:r w:rsidRPr="000813AB">
        <w:rPr>
          <w:rFonts w:cs="Arial"/>
          <w:i/>
          <w:color w:val="4BACC6" w:themeColor="accent5"/>
          <w:sz w:val="22"/>
          <w:szCs w:val="22"/>
        </w:rPr>
        <w:t>:</w:t>
      </w:r>
    </w:p>
    <w:p w:rsidR="00941158" w:rsidRPr="000813AB" w:rsidRDefault="00941158" w:rsidP="00E84556">
      <w:pPr>
        <w:pStyle w:val="corte4fondo"/>
        <w:tabs>
          <w:tab w:val="left" w:pos="567"/>
        </w:tabs>
        <w:rPr>
          <w:rFonts w:cs="Arial"/>
          <w:i/>
          <w:color w:val="4BACC6" w:themeColor="accent5"/>
          <w:sz w:val="22"/>
          <w:szCs w:val="22"/>
        </w:rPr>
      </w:pPr>
      <w:bookmarkStart w:id="1" w:name="_GoBack"/>
      <w:bookmarkEnd w:id="1"/>
    </w:p>
    <w:p w:rsidR="00420313" w:rsidRPr="000813AB" w:rsidRDefault="00941158" w:rsidP="00E84556">
      <w:pPr>
        <w:pStyle w:val="corte4fondo"/>
        <w:tabs>
          <w:tab w:val="left" w:pos="567"/>
        </w:tabs>
        <w:rPr>
          <w:rFonts w:cs="Arial"/>
          <w:i/>
          <w:color w:val="4BACC6" w:themeColor="accent5"/>
          <w:sz w:val="22"/>
          <w:szCs w:val="22"/>
        </w:rPr>
      </w:pPr>
      <w:r w:rsidRPr="000813AB">
        <w:rPr>
          <w:rFonts w:cs="Arial"/>
          <w:i/>
          <w:color w:val="4BACC6" w:themeColor="accent5"/>
          <w:sz w:val="22"/>
          <w:szCs w:val="22"/>
        </w:rPr>
        <w:t>6.</w:t>
      </w:r>
      <w:r w:rsidR="008E68F1" w:rsidRPr="000813AB">
        <w:rPr>
          <w:rFonts w:cs="Arial"/>
          <w:i/>
          <w:color w:val="4BACC6" w:themeColor="accent5"/>
          <w:sz w:val="22"/>
          <w:szCs w:val="22"/>
        </w:rPr>
        <w:t>1</w:t>
      </w:r>
      <w:r w:rsidRPr="000813AB">
        <w:rPr>
          <w:rFonts w:cs="Arial"/>
          <w:i/>
          <w:color w:val="4BACC6" w:themeColor="accent5"/>
          <w:sz w:val="22"/>
          <w:szCs w:val="22"/>
        </w:rPr>
        <w:t xml:space="preserve">.1. </w:t>
      </w:r>
      <w:r w:rsidR="008E68F1" w:rsidRPr="000813AB">
        <w:rPr>
          <w:rFonts w:cs="Arial"/>
          <w:i/>
          <w:color w:val="4BACC6" w:themeColor="accent5"/>
          <w:sz w:val="22"/>
          <w:szCs w:val="22"/>
        </w:rPr>
        <w:t>La ruta electrónica correcta y las instrucciones precisas para poder consultar la información consistente en: Cuánto gasta actualmente la secretaría de salud en el estado en el pago de la plantilla laboral en todo el estado, así como en específico la perteneciente a oficina central de forma mensual</w:t>
      </w:r>
      <w:r w:rsidR="00420313" w:rsidRPr="000813AB">
        <w:rPr>
          <w:rFonts w:cs="Arial"/>
          <w:i/>
          <w:color w:val="4BACC6" w:themeColor="accent5"/>
          <w:sz w:val="22"/>
          <w:szCs w:val="22"/>
        </w:rPr>
        <w:t>.”</w:t>
      </w:r>
    </w:p>
    <w:p w:rsidR="003047E5" w:rsidRPr="00976F0C" w:rsidRDefault="0039642A" w:rsidP="00420313">
      <w:pPr>
        <w:pStyle w:val="corte4fondo"/>
        <w:tabs>
          <w:tab w:val="left" w:pos="567"/>
        </w:tabs>
        <w:spacing w:line="240" w:lineRule="auto"/>
        <w:rPr>
          <w:rFonts w:cs="Arial"/>
          <w:i/>
          <w:color w:val="4BACC6" w:themeColor="accent5"/>
          <w:sz w:val="18"/>
          <w:szCs w:val="18"/>
        </w:rPr>
      </w:pPr>
      <w:r w:rsidRPr="00976F0C">
        <w:rPr>
          <w:rFonts w:cs="Arial"/>
          <w:i/>
          <w:color w:val="4BACC6" w:themeColor="accent5"/>
          <w:sz w:val="18"/>
          <w:szCs w:val="18"/>
        </w:rPr>
        <w:t xml:space="preserve"> </w:t>
      </w:r>
      <w:r w:rsidR="003047E5" w:rsidRPr="00976F0C">
        <w:rPr>
          <w:rFonts w:cs="Arial"/>
          <w:i/>
          <w:color w:val="4BACC6" w:themeColor="accent5"/>
          <w:sz w:val="18"/>
          <w:szCs w:val="18"/>
        </w:rPr>
        <w:t xml:space="preserve"> </w:t>
      </w:r>
    </w:p>
    <w:p w:rsidR="002231D3" w:rsidRPr="00976F0C" w:rsidRDefault="00467AA8" w:rsidP="008E68F1">
      <w:pPr>
        <w:pStyle w:val="corte4fondo"/>
        <w:tabs>
          <w:tab w:val="left" w:pos="567"/>
        </w:tabs>
        <w:spacing w:line="240" w:lineRule="auto"/>
        <w:rPr>
          <w:rFonts w:cs="Arial"/>
          <w:i/>
          <w:color w:val="4BACC6" w:themeColor="accent5"/>
          <w:sz w:val="20"/>
        </w:rPr>
      </w:pPr>
      <w:r w:rsidRPr="00976F0C">
        <w:rPr>
          <w:rFonts w:cs="Arial"/>
          <w:i/>
          <w:color w:val="4BACC6" w:themeColor="accent5"/>
          <w:sz w:val="18"/>
          <w:szCs w:val="18"/>
        </w:rPr>
        <w:t xml:space="preserve"> </w:t>
      </w:r>
    </w:p>
    <w:p w:rsidR="00352A7B" w:rsidRPr="00976F0C" w:rsidRDefault="007A68AD" w:rsidP="001C77AA">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Por lo anterior, el</w:t>
      </w:r>
      <w:r w:rsidR="001F0337" w:rsidRPr="00976F0C">
        <w:rPr>
          <w:rFonts w:ascii="Arial" w:hAnsi="Arial" w:cs="Arial"/>
          <w:color w:val="4BACC6" w:themeColor="accent5"/>
          <w:sz w:val="24"/>
          <w:szCs w:val="24"/>
        </w:rPr>
        <w:t xml:space="preserve"> sujeto</w:t>
      </w:r>
      <w:r w:rsidR="00DF5E66" w:rsidRPr="00976F0C">
        <w:rPr>
          <w:rFonts w:ascii="Arial" w:hAnsi="Arial" w:cs="Arial"/>
          <w:color w:val="4BACC6" w:themeColor="accent5"/>
          <w:sz w:val="24"/>
          <w:szCs w:val="24"/>
        </w:rPr>
        <w:t xml:space="preserve"> obl</w:t>
      </w:r>
      <w:r w:rsidR="00763E45" w:rsidRPr="00976F0C">
        <w:rPr>
          <w:rFonts w:ascii="Arial" w:hAnsi="Arial" w:cs="Arial"/>
          <w:color w:val="4BACC6" w:themeColor="accent5"/>
          <w:sz w:val="24"/>
          <w:szCs w:val="24"/>
        </w:rPr>
        <w:t xml:space="preserve">igado a través </w:t>
      </w:r>
      <w:r w:rsidR="007B520C" w:rsidRPr="00976F0C">
        <w:rPr>
          <w:rFonts w:ascii="Arial" w:hAnsi="Arial" w:cs="Arial"/>
          <w:color w:val="4BACC6" w:themeColor="accent5"/>
          <w:sz w:val="24"/>
          <w:szCs w:val="24"/>
        </w:rPr>
        <w:t>del</w:t>
      </w:r>
      <w:r w:rsidR="00381A32" w:rsidRPr="00976F0C">
        <w:rPr>
          <w:rFonts w:ascii="Arial" w:hAnsi="Arial" w:cs="Arial"/>
          <w:color w:val="4BACC6" w:themeColor="accent5"/>
          <w:sz w:val="24"/>
          <w:szCs w:val="24"/>
        </w:rPr>
        <w:t xml:space="preserve"> </w:t>
      </w:r>
      <w:r w:rsidR="008E68F1">
        <w:rPr>
          <w:rFonts w:ascii="Arial" w:hAnsi="Arial" w:cs="Arial"/>
          <w:color w:val="4BACC6" w:themeColor="accent5"/>
          <w:sz w:val="24"/>
          <w:szCs w:val="24"/>
        </w:rPr>
        <w:t>escrito signado por el Encargado de la Unidad de Transparencia del Organismo Público Descentralizado Denominado Servicios de Salud de San Luis Potosí</w:t>
      </w:r>
      <w:r w:rsidR="00ED382A" w:rsidRPr="00976F0C">
        <w:rPr>
          <w:rFonts w:ascii="Arial" w:hAnsi="Arial" w:cs="Arial"/>
          <w:color w:val="4BACC6" w:themeColor="accent5"/>
          <w:sz w:val="24"/>
          <w:szCs w:val="24"/>
        </w:rPr>
        <w:t xml:space="preserve">, </w:t>
      </w:r>
      <w:r w:rsidR="00BF1949">
        <w:rPr>
          <w:rFonts w:ascii="Arial" w:hAnsi="Arial" w:cs="Arial"/>
          <w:color w:val="4BACC6" w:themeColor="accent5"/>
          <w:sz w:val="24"/>
          <w:szCs w:val="24"/>
        </w:rPr>
        <w:t>recibido en este órgano colegiado el cuatro de enero de dos mil dieciocho</w:t>
      </w:r>
      <w:r w:rsidR="001A3205" w:rsidRPr="00976F0C">
        <w:rPr>
          <w:rFonts w:ascii="Arial" w:hAnsi="Arial" w:cs="Arial"/>
          <w:color w:val="4BACC6" w:themeColor="accent5"/>
          <w:sz w:val="24"/>
          <w:szCs w:val="24"/>
        </w:rPr>
        <w:t>,</w:t>
      </w:r>
      <w:r w:rsidR="006A4610" w:rsidRPr="00976F0C">
        <w:rPr>
          <w:rFonts w:ascii="Arial" w:hAnsi="Arial" w:cs="Arial"/>
          <w:color w:val="4BACC6" w:themeColor="accent5"/>
          <w:sz w:val="24"/>
          <w:szCs w:val="24"/>
        </w:rPr>
        <w:t xml:space="preserve"> con </w:t>
      </w:r>
      <w:r w:rsidR="008E68F1">
        <w:rPr>
          <w:rFonts w:ascii="Arial" w:hAnsi="Arial" w:cs="Arial"/>
          <w:color w:val="4BACC6" w:themeColor="accent5"/>
          <w:sz w:val="24"/>
          <w:szCs w:val="24"/>
        </w:rPr>
        <w:t>un</w:t>
      </w:r>
      <w:r w:rsidR="006A4610" w:rsidRPr="00976F0C">
        <w:rPr>
          <w:rFonts w:ascii="Arial" w:hAnsi="Arial" w:cs="Arial"/>
          <w:color w:val="4BACC6" w:themeColor="accent5"/>
          <w:sz w:val="24"/>
          <w:szCs w:val="24"/>
        </w:rPr>
        <w:t xml:space="preserve"> anexo,</w:t>
      </w:r>
      <w:r w:rsidR="00E94C22" w:rsidRPr="00976F0C">
        <w:rPr>
          <w:rFonts w:ascii="Arial" w:hAnsi="Arial" w:cs="Arial"/>
          <w:color w:val="4BACC6" w:themeColor="accent5"/>
          <w:sz w:val="24"/>
          <w:szCs w:val="24"/>
        </w:rPr>
        <w:t xml:space="preserve"> </w:t>
      </w:r>
      <w:r w:rsidR="001C77AA" w:rsidRPr="00976F0C">
        <w:rPr>
          <w:rFonts w:ascii="Arial" w:hAnsi="Arial" w:cs="Arial"/>
          <w:color w:val="4BACC6" w:themeColor="accent5"/>
          <w:sz w:val="24"/>
          <w:szCs w:val="24"/>
        </w:rPr>
        <w:t xml:space="preserve">donde </w:t>
      </w:r>
      <w:r w:rsidR="00E94C22" w:rsidRPr="00976F0C">
        <w:rPr>
          <w:rFonts w:ascii="Arial" w:hAnsi="Arial" w:cs="Arial"/>
          <w:color w:val="4BACC6" w:themeColor="accent5"/>
          <w:sz w:val="24"/>
          <w:szCs w:val="24"/>
        </w:rPr>
        <w:t>informa sobre el cumplimiento al resolutivo en anális</w:t>
      </w:r>
      <w:r w:rsidR="00D21862" w:rsidRPr="00976F0C">
        <w:rPr>
          <w:rFonts w:ascii="Arial" w:hAnsi="Arial" w:cs="Arial"/>
          <w:color w:val="4BACC6" w:themeColor="accent5"/>
          <w:sz w:val="24"/>
          <w:szCs w:val="24"/>
        </w:rPr>
        <w:t>is</w:t>
      </w:r>
      <w:r w:rsidR="00352A7B" w:rsidRPr="00976F0C">
        <w:rPr>
          <w:rFonts w:ascii="Arial" w:hAnsi="Arial" w:cs="Arial"/>
          <w:color w:val="4BACC6" w:themeColor="accent5"/>
          <w:sz w:val="24"/>
          <w:szCs w:val="24"/>
        </w:rPr>
        <w:t xml:space="preserve"> y señala medularmente lo siguiente:</w:t>
      </w:r>
    </w:p>
    <w:p w:rsidR="00D11CA5" w:rsidRPr="00976F0C" w:rsidRDefault="00D11CA5" w:rsidP="00352A7B">
      <w:pPr>
        <w:spacing w:after="0" w:line="360" w:lineRule="auto"/>
        <w:jc w:val="both"/>
        <w:rPr>
          <w:rFonts w:ascii="Arial" w:hAnsi="Arial" w:cs="Arial"/>
          <w:color w:val="4BACC6" w:themeColor="accent5"/>
          <w:sz w:val="24"/>
          <w:szCs w:val="24"/>
        </w:rPr>
      </w:pPr>
    </w:p>
    <w:p w:rsidR="00D11CA5" w:rsidRPr="00BA0F5C" w:rsidRDefault="00E12808" w:rsidP="00942A7C">
      <w:pPr>
        <w:spacing w:after="0" w:line="240" w:lineRule="auto"/>
        <w:ind w:firstLine="708"/>
        <w:jc w:val="both"/>
        <w:rPr>
          <w:rFonts w:ascii="Arial" w:hAnsi="Arial" w:cs="Arial"/>
          <w:i/>
          <w:color w:val="4BACC6" w:themeColor="accent5"/>
        </w:rPr>
      </w:pPr>
      <w:bookmarkStart w:id="2" w:name="_Hlk506205158"/>
      <w:r w:rsidRPr="00BA0F5C">
        <w:rPr>
          <w:rFonts w:ascii="Arial" w:hAnsi="Arial" w:cs="Arial"/>
          <w:i/>
          <w:color w:val="4BACC6" w:themeColor="accent5"/>
          <w:sz w:val="20"/>
          <w:szCs w:val="20"/>
        </w:rPr>
        <w:t xml:space="preserve"> </w:t>
      </w:r>
      <w:r w:rsidR="00D11CA5" w:rsidRPr="00BA0F5C">
        <w:rPr>
          <w:rFonts w:ascii="Arial" w:hAnsi="Arial" w:cs="Arial"/>
          <w:i/>
          <w:color w:val="4BACC6" w:themeColor="accent5"/>
        </w:rPr>
        <w:t>[…]</w:t>
      </w:r>
      <w:r w:rsidR="00810456" w:rsidRPr="00BA0F5C">
        <w:rPr>
          <w:rFonts w:ascii="Arial" w:hAnsi="Arial" w:cs="Arial"/>
          <w:i/>
          <w:color w:val="4BACC6" w:themeColor="accent5"/>
        </w:rPr>
        <w:t xml:space="preserve"> </w:t>
      </w:r>
      <w:bookmarkEnd w:id="2"/>
      <w:r w:rsidR="00E91BBA" w:rsidRPr="00BA0F5C">
        <w:rPr>
          <w:rFonts w:ascii="Arial" w:hAnsi="Arial" w:cs="Arial"/>
          <w:i/>
          <w:color w:val="4BACC6" w:themeColor="accent5"/>
        </w:rPr>
        <w:t>S</w:t>
      </w:r>
      <w:r w:rsidR="00E135A8" w:rsidRPr="00BA0F5C">
        <w:rPr>
          <w:rFonts w:ascii="Arial" w:hAnsi="Arial" w:cs="Arial"/>
          <w:i/>
          <w:color w:val="4BACC6" w:themeColor="accent5"/>
        </w:rPr>
        <w:t xml:space="preserve">e </w:t>
      </w:r>
      <w:r w:rsidR="008E68F1">
        <w:rPr>
          <w:rFonts w:ascii="Arial" w:hAnsi="Arial" w:cs="Arial"/>
          <w:i/>
          <w:color w:val="4BACC6" w:themeColor="accent5"/>
        </w:rPr>
        <w:t>me tenga por dando cumplimiento a l</w:t>
      </w:r>
      <w:r w:rsidR="00356C5A">
        <w:rPr>
          <w:rFonts w:ascii="Arial" w:hAnsi="Arial" w:cs="Arial"/>
          <w:i/>
          <w:color w:val="4BACC6" w:themeColor="accent5"/>
        </w:rPr>
        <w:t>o ordenado en el acuerdo de fecha 27 de noviembre de 2017, dictado por esa H. Comisión Estatal de Garantía de Acceso a la Información Pública del Estado de San Luis Potosí, dentro del recurso arriba señalado</w:t>
      </w:r>
      <w:r w:rsidR="00224121" w:rsidRPr="00BA0F5C">
        <w:rPr>
          <w:rFonts w:ascii="Arial" w:hAnsi="Arial" w:cs="Arial"/>
          <w:i/>
          <w:color w:val="4BACC6" w:themeColor="accent5"/>
        </w:rPr>
        <w:t>.</w:t>
      </w:r>
      <w:r w:rsidR="00E621C8" w:rsidRPr="00BA0F5C">
        <w:rPr>
          <w:rFonts w:ascii="Arial" w:hAnsi="Arial" w:cs="Arial"/>
          <w:i/>
          <w:color w:val="4BACC6" w:themeColor="accent5"/>
        </w:rPr>
        <w:t>”</w:t>
      </w:r>
      <w:r w:rsidR="001C77AA" w:rsidRPr="00BA0F5C">
        <w:rPr>
          <w:rFonts w:ascii="Arial" w:hAnsi="Arial" w:cs="Arial"/>
          <w:i/>
          <w:color w:val="4BACC6" w:themeColor="accent5"/>
        </w:rPr>
        <w:t xml:space="preserve"> </w:t>
      </w:r>
    </w:p>
    <w:p w:rsidR="00D21862" w:rsidRPr="00976F0C" w:rsidRDefault="00D21862" w:rsidP="00352A7B">
      <w:pPr>
        <w:spacing w:after="0" w:line="360" w:lineRule="auto"/>
        <w:jc w:val="both"/>
        <w:rPr>
          <w:rFonts w:ascii="Arial" w:hAnsi="Arial" w:cs="Arial"/>
          <w:color w:val="4BACC6" w:themeColor="accent5"/>
          <w:sz w:val="24"/>
          <w:szCs w:val="24"/>
        </w:rPr>
      </w:pPr>
    </w:p>
    <w:p w:rsidR="00AF0D89" w:rsidRPr="00976F0C" w:rsidRDefault="00352A7B" w:rsidP="00AF0D89">
      <w:pPr>
        <w:pStyle w:val="corte4fondo"/>
        <w:tabs>
          <w:tab w:val="left" w:pos="567"/>
        </w:tabs>
        <w:rPr>
          <w:rFonts w:cs="Arial"/>
          <w:color w:val="4BACC6" w:themeColor="accent5"/>
          <w:sz w:val="24"/>
          <w:szCs w:val="24"/>
        </w:rPr>
      </w:pPr>
      <w:r w:rsidRPr="00976F0C">
        <w:rPr>
          <w:rFonts w:cs="Arial"/>
          <w:color w:val="4BACC6" w:themeColor="accent5"/>
          <w:sz w:val="24"/>
          <w:szCs w:val="24"/>
        </w:rPr>
        <w:t>En ese sentido,</w:t>
      </w:r>
      <w:r w:rsidR="006A4610" w:rsidRPr="00976F0C">
        <w:rPr>
          <w:rFonts w:cs="Arial"/>
          <w:color w:val="4BACC6" w:themeColor="accent5"/>
          <w:sz w:val="24"/>
          <w:szCs w:val="24"/>
        </w:rPr>
        <w:t xml:space="preserve"> </w:t>
      </w:r>
      <w:r w:rsidR="00D11CA5" w:rsidRPr="00976F0C">
        <w:rPr>
          <w:rFonts w:cs="Arial"/>
          <w:color w:val="4BACC6" w:themeColor="accent5"/>
          <w:sz w:val="24"/>
          <w:szCs w:val="24"/>
        </w:rPr>
        <w:t xml:space="preserve">visibles a fojas </w:t>
      </w:r>
      <w:r w:rsidR="00356C5A">
        <w:rPr>
          <w:rFonts w:cs="Arial"/>
          <w:color w:val="4BACC6" w:themeColor="accent5"/>
          <w:sz w:val="24"/>
          <w:szCs w:val="24"/>
        </w:rPr>
        <w:t>32</w:t>
      </w:r>
      <w:r w:rsidR="00810456" w:rsidRPr="00976F0C">
        <w:rPr>
          <w:rFonts w:cs="Arial"/>
          <w:color w:val="4BACC6" w:themeColor="accent5"/>
          <w:sz w:val="24"/>
          <w:szCs w:val="24"/>
        </w:rPr>
        <w:t xml:space="preserve"> </w:t>
      </w:r>
      <w:r w:rsidR="00467AA8" w:rsidRPr="00976F0C">
        <w:rPr>
          <w:rFonts w:cs="Arial"/>
          <w:color w:val="4BACC6" w:themeColor="accent5"/>
          <w:sz w:val="24"/>
          <w:szCs w:val="24"/>
        </w:rPr>
        <w:t>a</w:t>
      </w:r>
      <w:r w:rsidR="00810456" w:rsidRPr="00976F0C">
        <w:rPr>
          <w:rFonts w:cs="Arial"/>
          <w:color w:val="4BACC6" w:themeColor="accent5"/>
          <w:sz w:val="24"/>
          <w:szCs w:val="24"/>
        </w:rPr>
        <w:t xml:space="preserve"> </w:t>
      </w:r>
      <w:r w:rsidR="00356C5A">
        <w:rPr>
          <w:rFonts w:cs="Arial"/>
          <w:color w:val="4BACC6" w:themeColor="accent5"/>
          <w:sz w:val="24"/>
          <w:szCs w:val="24"/>
        </w:rPr>
        <w:t>34</w:t>
      </w:r>
      <w:r w:rsidR="00D11CA5" w:rsidRPr="00976F0C">
        <w:rPr>
          <w:rFonts w:cs="Arial"/>
          <w:color w:val="4BACC6" w:themeColor="accent5"/>
          <w:sz w:val="24"/>
          <w:szCs w:val="24"/>
        </w:rPr>
        <w:t xml:space="preserve"> de autos, se encuentra</w:t>
      </w:r>
      <w:r w:rsidR="00922275" w:rsidRPr="00976F0C">
        <w:rPr>
          <w:rFonts w:cs="Arial"/>
          <w:color w:val="4BACC6" w:themeColor="accent5"/>
          <w:sz w:val="24"/>
          <w:szCs w:val="24"/>
        </w:rPr>
        <w:t xml:space="preserve"> únicamente</w:t>
      </w:r>
      <w:r w:rsidR="00D11CA5" w:rsidRPr="00976F0C">
        <w:rPr>
          <w:rFonts w:cs="Arial"/>
          <w:color w:val="4BACC6" w:themeColor="accent5"/>
          <w:sz w:val="24"/>
          <w:szCs w:val="24"/>
        </w:rPr>
        <w:t xml:space="preserve"> la información que fuera enviada al recurrente, mismos que por economía procesal, se tienen por reproducidos como si a la letra se insertasen</w:t>
      </w:r>
      <w:r w:rsidR="006E6735" w:rsidRPr="00976F0C">
        <w:rPr>
          <w:rFonts w:cs="Arial"/>
          <w:color w:val="4BACC6" w:themeColor="accent5"/>
          <w:sz w:val="24"/>
          <w:szCs w:val="24"/>
        </w:rPr>
        <w:t>.</w:t>
      </w:r>
    </w:p>
    <w:p w:rsidR="00AF0D89" w:rsidRPr="00976F0C" w:rsidRDefault="00AF0D89" w:rsidP="00AF0D89">
      <w:pPr>
        <w:pStyle w:val="corte4fondo"/>
        <w:tabs>
          <w:tab w:val="left" w:pos="567"/>
        </w:tabs>
        <w:rPr>
          <w:rFonts w:cs="Arial"/>
          <w:color w:val="4BACC6" w:themeColor="accent5"/>
          <w:sz w:val="24"/>
          <w:szCs w:val="24"/>
        </w:rPr>
      </w:pPr>
    </w:p>
    <w:p w:rsidR="0036214E" w:rsidRDefault="00AF0D89" w:rsidP="00356C5A">
      <w:pPr>
        <w:pStyle w:val="corte4fondo"/>
        <w:tabs>
          <w:tab w:val="left" w:pos="567"/>
        </w:tabs>
        <w:rPr>
          <w:rFonts w:cs="Arial"/>
          <w:color w:val="4BACC6" w:themeColor="accent5"/>
          <w:sz w:val="24"/>
          <w:szCs w:val="24"/>
        </w:rPr>
      </w:pPr>
      <w:r w:rsidRPr="00976F0C">
        <w:rPr>
          <w:rFonts w:cs="Arial"/>
          <w:color w:val="4BACC6" w:themeColor="accent5"/>
          <w:sz w:val="24"/>
          <w:szCs w:val="24"/>
        </w:rPr>
        <w:lastRenderedPageBreak/>
        <w:t xml:space="preserve">Por otra parte, </w:t>
      </w:r>
      <w:r w:rsidR="00B52017">
        <w:rPr>
          <w:rFonts w:cs="Arial"/>
          <w:color w:val="4BACC6" w:themeColor="accent5"/>
          <w:sz w:val="24"/>
          <w:szCs w:val="24"/>
        </w:rPr>
        <w:t xml:space="preserve">se advierte de las constancias que </w:t>
      </w:r>
      <w:r w:rsidR="00D11CA5" w:rsidRPr="00976F0C">
        <w:rPr>
          <w:rFonts w:cs="Arial"/>
          <w:color w:val="4BACC6" w:themeColor="accent5"/>
          <w:sz w:val="24"/>
          <w:szCs w:val="24"/>
        </w:rPr>
        <w:t xml:space="preserve">el sujeto obligado </w:t>
      </w:r>
      <w:r w:rsidR="00942A7C">
        <w:rPr>
          <w:rFonts w:cs="Arial"/>
          <w:color w:val="4BACC6" w:themeColor="accent5"/>
          <w:sz w:val="24"/>
          <w:szCs w:val="24"/>
        </w:rPr>
        <w:t>remitió al recurrente</w:t>
      </w:r>
      <w:r w:rsidR="00942A7C" w:rsidRPr="00976F0C">
        <w:rPr>
          <w:rFonts w:cs="Arial"/>
          <w:color w:val="4BACC6" w:themeColor="accent5"/>
          <w:sz w:val="24"/>
          <w:szCs w:val="24"/>
        </w:rPr>
        <w:t xml:space="preserve"> </w:t>
      </w:r>
      <w:r w:rsidR="00B52017">
        <w:rPr>
          <w:rFonts w:cs="Arial"/>
          <w:color w:val="4BACC6" w:themeColor="accent5"/>
          <w:sz w:val="24"/>
          <w:szCs w:val="24"/>
        </w:rPr>
        <w:t>un</w:t>
      </w:r>
      <w:r w:rsidR="00356C5A">
        <w:rPr>
          <w:rFonts w:cs="Arial"/>
          <w:color w:val="4BACC6" w:themeColor="accent5"/>
          <w:sz w:val="24"/>
          <w:szCs w:val="24"/>
        </w:rPr>
        <w:t xml:space="preserve"> documento vía correo electrónico del cual obra captura de pantalla</w:t>
      </w:r>
      <w:r w:rsidR="001D46E8">
        <w:rPr>
          <w:rFonts w:cs="Arial"/>
          <w:color w:val="4BACC6" w:themeColor="accent5"/>
          <w:sz w:val="24"/>
          <w:szCs w:val="24"/>
        </w:rPr>
        <w:t xml:space="preserve">, pero </w:t>
      </w:r>
      <w:r w:rsidR="001D46E8" w:rsidRPr="0036214E">
        <w:rPr>
          <w:rFonts w:cs="Arial"/>
          <w:b/>
          <w:color w:val="4BACC6" w:themeColor="accent5"/>
          <w:sz w:val="24"/>
          <w:szCs w:val="24"/>
        </w:rPr>
        <w:t xml:space="preserve">no acompaña </w:t>
      </w:r>
      <w:r w:rsidR="00356C5A">
        <w:rPr>
          <w:rFonts w:cs="Arial"/>
          <w:b/>
          <w:color w:val="4BACC6" w:themeColor="accent5"/>
          <w:sz w:val="24"/>
          <w:szCs w:val="24"/>
        </w:rPr>
        <w:t xml:space="preserve">los </w:t>
      </w:r>
      <w:r w:rsidR="001D46E8" w:rsidRPr="0036214E">
        <w:rPr>
          <w:rFonts w:cs="Arial"/>
          <w:b/>
          <w:color w:val="4BACC6" w:themeColor="accent5"/>
          <w:sz w:val="24"/>
          <w:szCs w:val="24"/>
        </w:rPr>
        <w:t>documento</w:t>
      </w:r>
      <w:r w:rsidR="00356C5A">
        <w:rPr>
          <w:rFonts w:cs="Arial"/>
          <w:b/>
          <w:color w:val="4BACC6" w:themeColor="accent5"/>
          <w:sz w:val="24"/>
          <w:szCs w:val="24"/>
        </w:rPr>
        <w:t>s</w:t>
      </w:r>
      <w:r w:rsidR="001D46E8" w:rsidRPr="0036214E">
        <w:rPr>
          <w:rFonts w:cs="Arial"/>
          <w:b/>
          <w:color w:val="4BACC6" w:themeColor="accent5"/>
          <w:sz w:val="24"/>
          <w:szCs w:val="24"/>
        </w:rPr>
        <w:t xml:space="preserve"> </w:t>
      </w:r>
      <w:r w:rsidR="001D46E8">
        <w:rPr>
          <w:rFonts w:cs="Arial"/>
          <w:color w:val="4BACC6" w:themeColor="accent5"/>
          <w:sz w:val="24"/>
          <w:szCs w:val="24"/>
        </w:rPr>
        <w:t>en la que base su respuesta</w:t>
      </w:r>
      <w:r w:rsidR="0036214E">
        <w:rPr>
          <w:rFonts w:cs="Arial"/>
          <w:color w:val="4BACC6" w:themeColor="accent5"/>
          <w:sz w:val="24"/>
          <w:szCs w:val="24"/>
        </w:rPr>
        <w:t>; es decir, no remite documentos de donde se haya desprendido la información para poder dar cumplimiento a la resolución de mérito</w:t>
      </w:r>
      <w:r w:rsidR="00356C5A">
        <w:rPr>
          <w:rFonts w:cs="Arial"/>
          <w:color w:val="4BACC6" w:themeColor="accent5"/>
          <w:sz w:val="24"/>
          <w:szCs w:val="24"/>
        </w:rPr>
        <w:t xml:space="preserve">, </w:t>
      </w:r>
      <w:r w:rsidR="0036214E">
        <w:rPr>
          <w:rFonts w:cs="Arial"/>
          <w:color w:val="4BACC6" w:themeColor="accent5"/>
          <w:sz w:val="24"/>
          <w:szCs w:val="24"/>
        </w:rPr>
        <w:t>como lo establece el artículo 3° fracción XIII de la Ley de Transparencia y Acceso a la Información Pública del Estado, que dice:</w:t>
      </w:r>
    </w:p>
    <w:p w:rsidR="0036214E" w:rsidRDefault="0036214E" w:rsidP="0036214E">
      <w:pPr>
        <w:pStyle w:val="corte4fondo"/>
        <w:tabs>
          <w:tab w:val="left" w:pos="567"/>
        </w:tabs>
        <w:rPr>
          <w:rFonts w:cs="Arial"/>
          <w:color w:val="4BACC6" w:themeColor="accent5"/>
          <w:sz w:val="24"/>
          <w:szCs w:val="24"/>
        </w:rPr>
      </w:pPr>
    </w:p>
    <w:p w:rsidR="0036214E" w:rsidRPr="000813AB" w:rsidRDefault="0036214E" w:rsidP="0036214E">
      <w:pPr>
        <w:spacing w:after="230" w:line="360" w:lineRule="auto"/>
        <w:ind w:left="-5" w:firstLine="713"/>
        <w:jc w:val="both"/>
        <w:rPr>
          <w:rFonts w:ascii="Arial" w:hAnsi="Arial" w:cs="Arial"/>
          <w:i/>
          <w:color w:val="4BACC6" w:themeColor="accent5"/>
        </w:rPr>
      </w:pPr>
      <w:r w:rsidRPr="000813AB">
        <w:rPr>
          <w:rFonts w:ascii="Arial" w:hAnsi="Arial" w:cs="Arial"/>
          <w:b/>
          <w:i/>
          <w:color w:val="4BACC6" w:themeColor="accent5"/>
        </w:rPr>
        <w:t>“ARTÍCULO 3°.</w:t>
      </w:r>
      <w:r w:rsidRPr="000813AB">
        <w:rPr>
          <w:rFonts w:ascii="Arial" w:hAnsi="Arial" w:cs="Arial"/>
          <w:i/>
          <w:color w:val="4BACC6" w:themeColor="accent5"/>
        </w:rPr>
        <w:t xml:space="preserve"> Para los efectos de la presente Ley se entenderá por: […]</w:t>
      </w:r>
    </w:p>
    <w:p w:rsidR="0036214E" w:rsidRPr="000813AB" w:rsidRDefault="0036214E" w:rsidP="0036214E">
      <w:pPr>
        <w:spacing w:after="216" w:line="360" w:lineRule="auto"/>
        <w:ind w:left="10" w:firstLine="698"/>
        <w:jc w:val="both"/>
        <w:rPr>
          <w:rFonts w:ascii="Arial" w:hAnsi="Arial" w:cs="Arial"/>
          <w:i/>
          <w:color w:val="4BACC6" w:themeColor="accent5"/>
        </w:rPr>
      </w:pPr>
      <w:r w:rsidRPr="000813AB">
        <w:rPr>
          <w:rFonts w:ascii="Arial" w:hAnsi="Arial" w:cs="Arial"/>
          <w:b/>
          <w:i/>
          <w:color w:val="4BACC6" w:themeColor="accent5"/>
        </w:rPr>
        <w:t>XIII. Documento:</w:t>
      </w:r>
      <w:r w:rsidRPr="000813AB">
        <w:rPr>
          <w:rFonts w:ascii="Arial" w:hAnsi="Arial" w:cs="Arial"/>
          <w:i/>
          <w:color w:val="4BACC6" w:themeColor="accent5"/>
        </w:rPr>
        <w:t xml:space="preserve"> oficios, acuerdos, correspondencia, directivas, circulares, minutas, expedientes, reportes, estudios, contratos, actas, convenios, resoluciones, instructivos, memorandos, notas, estadísticas, sondeos, encuestas, expresiones y representaciones materiales que den constancia de un hecho o acto del pasado o del presente, de las entidades y de las personas en el servicio público en el ejercicio de sus funciones; o cualquier otro registro que documente la existencia y actividades de los sujetos obligados, sin excepción de su fuente, tipo o fecha de elaboración. Los documentos pueden ser papeles escritos, o en cualquier medio o formato impreso, sonoro, electrónico, fotográfico, gráfico, visual, holográfico, electrónico o digital; […]</w:t>
      </w:r>
    </w:p>
    <w:p w:rsidR="00BA0F5C" w:rsidRDefault="00BA0F5C" w:rsidP="00523D76">
      <w:pPr>
        <w:pStyle w:val="corte4fondo"/>
        <w:tabs>
          <w:tab w:val="left" w:pos="567"/>
        </w:tabs>
        <w:rPr>
          <w:rFonts w:cs="Arial"/>
          <w:color w:val="4BACC6" w:themeColor="accent5"/>
          <w:sz w:val="24"/>
          <w:szCs w:val="24"/>
        </w:rPr>
      </w:pPr>
    </w:p>
    <w:p w:rsidR="00523D76" w:rsidRPr="00976F0C" w:rsidRDefault="00356C5A" w:rsidP="00523D76">
      <w:pPr>
        <w:pStyle w:val="corte4fondo"/>
        <w:tabs>
          <w:tab w:val="left" w:pos="567"/>
        </w:tabs>
        <w:rPr>
          <w:rFonts w:cs="Arial"/>
          <w:color w:val="4BACC6" w:themeColor="accent5"/>
          <w:sz w:val="24"/>
          <w:szCs w:val="24"/>
        </w:rPr>
      </w:pPr>
      <w:r>
        <w:rPr>
          <w:rFonts w:cs="Arial"/>
          <w:color w:val="4BACC6" w:themeColor="accent5"/>
          <w:sz w:val="24"/>
          <w:szCs w:val="24"/>
        </w:rPr>
        <w:t>En consecuencia</w:t>
      </w:r>
      <w:r w:rsidR="0036214E">
        <w:rPr>
          <w:rFonts w:cs="Arial"/>
          <w:color w:val="4BACC6" w:themeColor="accent5"/>
          <w:sz w:val="24"/>
          <w:szCs w:val="24"/>
        </w:rPr>
        <w:t xml:space="preserve">, </w:t>
      </w:r>
      <w:r w:rsidR="00C11D53">
        <w:rPr>
          <w:rFonts w:cs="Arial"/>
          <w:color w:val="4BACC6" w:themeColor="accent5"/>
          <w:sz w:val="24"/>
          <w:szCs w:val="24"/>
        </w:rPr>
        <w:t xml:space="preserve">este órgano colegiado no puede realizar la verificación de la información y así emitir el acuerdo respectivo </w:t>
      </w:r>
      <w:proofErr w:type="gramStart"/>
      <w:r w:rsidR="00523D76" w:rsidRPr="00976F0C">
        <w:rPr>
          <w:rFonts w:cs="Arial"/>
          <w:color w:val="4BACC6" w:themeColor="accent5"/>
          <w:sz w:val="24"/>
          <w:szCs w:val="24"/>
        </w:rPr>
        <w:t>de acuerdo a</w:t>
      </w:r>
      <w:proofErr w:type="gramEnd"/>
      <w:r w:rsidR="00523D76" w:rsidRPr="00976F0C">
        <w:rPr>
          <w:rFonts w:cs="Arial"/>
          <w:color w:val="4BACC6" w:themeColor="accent5"/>
          <w:sz w:val="24"/>
          <w:szCs w:val="24"/>
        </w:rPr>
        <w:t xml:space="preserve"> lo </w:t>
      </w:r>
      <w:r w:rsidR="00FE5A4C" w:rsidRPr="00976F0C">
        <w:rPr>
          <w:rFonts w:cs="Arial"/>
          <w:color w:val="4BACC6" w:themeColor="accent5"/>
          <w:sz w:val="24"/>
          <w:szCs w:val="24"/>
        </w:rPr>
        <w:t xml:space="preserve">contenido </w:t>
      </w:r>
      <w:r w:rsidR="00523D76" w:rsidRPr="00976F0C">
        <w:rPr>
          <w:rFonts w:cs="Arial"/>
          <w:color w:val="4BACC6" w:themeColor="accent5"/>
          <w:sz w:val="24"/>
          <w:szCs w:val="24"/>
        </w:rPr>
        <w:t>en el artículo</w:t>
      </w:r>
      <w:r w:rsidR="00813BA7" w:rsidRPr="00976F0C">
        <w:rPr>
          <w:rFonts w:cs="Arial"/>
          <w:color w:val="4BACC6" w:themeColor="accent5"/>
          <w:sz w:val="24"/>
          <w:szCs w:val="24"/>
        </w:rPr>
        <w:t xml:space="preserve"> 18</w:t>
      </w:r>
      <w:r w:rsidR="00427953">
        <w:rPr>
          <w:rFonts w:cs="Arial"/>
          <w:color w:val="4BACC6" w:themeColor="accent5"/>
          <w:sz w:val="24"/>
          <w:szCs w:val="24"/>
        </w:rPr>
        <w:t>4</w:t>
      </w:r>
      <w:r w:rsidR="00813BA7" w:rsidRPr="00976F0C">
        <w:rPr>
          <w:rFonts w:cs="Arial"/>
          <w:color w:val="4BACC6" w:themeColor="accent5"/>
          <w:sz w:val="24"/>
          <w:szCs w:val="24"/>
        </w:rPr>
        <w:t xml:space="preserve"> </w:t>
      </w:r>
      <w:r w:rsidR="00523D76" w:rsidRPr="00976F0C">
        <w:rPr>
          <w:rFonts w:cs="Arial"/>
          <w:color w:val="4BACC6" w:themeColor="accent5"/>
          <w:sz w:val="24"/>
          <w:szCs w:val="24"/>
        </w:rPr>
        <w:t xml:space="preserve">de la Ley de Transparencia y Acceso a la Información Pública del Estado, que a la letra dice: </w:t>
      </w:r>
    </w:p>
    <w:p w:rsidR="0039642A" w:rsidRPr="00976F0C" w:rsidRDefault="0039642A" w:rsidP="00523D76">
      <w:pPr>
        <w:pStyle w:val="corte4fondo"/>
        <w:tabs>
          <w:tab w:val="left" w:pos="567"/>
        </w:tabs>
        <w:rPr>
          <w:rFonts w:cs="Arial"/>
          <w:color w:val="4BACC6" w:themeColor="accent5"/>
          <w:sz w:val="24"/>
          <w:szCs w:val="24"/>
        </w:rPr>
      </w:pPr>
    </w:p>
    <w:p w:rsidR="00E621C8" w:rsidRPr="000813AB" w:rsidRDefault="00523D76" w:rsidP="00E84556">
      <w:pPr>
        <w:spacing w:line="360" w:lineRule="auto"/>
        <w:ind w:firstLine="713"/>
        <w:jc w:val="both"/>
        <w:rPr>
          <w:rFonts w:ascii="Arial" w:eastAsia="Arial" w:hAnsi="Arial" w:cs="Arial"/>
          <w:i/>
          <w:color w:val="4BACC6" w:themeColor="accent5"/>
        </w:rPr>
      </w:pPr>
      <w:r w:rsidRPr="000813AB">
        <w:rPr>
          <w:rFonts w:ascii="Arial" w:hAnsi="Arial" w:cs="Arial"/>
          <w:i/>
          <w:color w:val="4BACC6" w:themeColor="accent5"/>
        </w:rPr>
        <w:t>“</w:t>
      </w:r>
      <w:r w:rsidR="00E621C8" w:rsidRPr="000813AB">
        <w:rPr>
          <w:rFonts w:ascii="Arial" w:hAnsi="Arial" w:cs="Arial"/>
          <w:i/>
          <w:color w:val="4BACC6" w:themeColor="accent5"/>
        </w:rPr>
        <w:t>ARTÍCULO 184. Transcurrido el plazo señalado en el artículo anterior, el sujeto obligado deberá informar a la CEGAIP sobre el cumplimento de la resolución.</w:t>
      </w:r>
    </w:p>
    <w:p w:rsidR="0039642A" w:rsidRPr="000813AB" w:rsidRDefault="00E621C8" w:rsidP="00E84556">
      <w:pPr>
        <w:spacing w:after="0" w:line="360" w:lineRule="auto"/>
        <w:ind w:firstLine="713"/>
        <w:jc w:val="both"/>
        <w:rPr>
          <w:rFonts w:ascii="Arial" w:hAnsi="Arial" w:cs="Arial"/>
          <w:i/>
          <w:color w:val="4BACC6" w:themeColor="accent5"/>
        </w:rPr>
      </w:pPr>
      <w:r w:rsidRPr="000813AB">
        <w:rPr>
          <w:rFonts w:ascii="Arial" w:hAnsi="Arial" w:cs="Arial"/>
          <w:i/>
          <w:color w:val="4BACC6" w:themeColor="accent5"/>
        </w:rPr>
        <w:t>La CEGAIP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la CEGAIP, deberá expresar las causas específicas por las cuales así lo considera.</w:t>
      </w:r>
      <w:r w:rsidR="00427953" w:rsidRPr="000813AB">
        <w:rPr>
          <w:rFonts w:ascii="Arial" w:hAnsi="Arial" w:cs="Arial"/>
          <w:i/>
          <w:color w:val="4BACC6" w:themeColor="accent5"/>
        </w:rPr>
        <w:t>”</w:t>
      </w:r>
    </w:p>
    <w:p w:rsidR="00427953" w:rsidRDefault="00427953" w:rsidP="000813AB">
      <w:pPr>
        <w:spacing w:after="0"/>
        <w:ind w:left="-5" w:firstLine="713"/>
        <w:jc w:val="both"/>
        <w:rPr>
          <w:rFonts w:ascii="Arial" w:hAnsi="Arial" w:cs="Arial"/>
          <w:i/>
          <w:color w:val="4BACC6" w:themeColor="accent5"/>
          <w:sz w:val="20"/>
          <w:szCs w:val="20"/>
        </w:rPr>
      </w:pPr>
    </w:p>
    <w:p w:rsidR="000813AB" w:rsidRPr="00427953" w:rsidRDefault="000813AB" w:rsidP="000813AB">
      <w:pPr>
        <w:spacing w:after="0"/>
        <w:ind w:left="-5" w:firstLine="713"/>
        <w:jc w:val="both"/>
        <w:rPr>
          <w:rFonts w:ascii="Arial" w:hAnsi="Arial" w:cs="Arial"/>
          <w:i/>
          <w:color w:val="4BACC6" w:themeColor="accent5"/>
          <w:sz w:val="20"/>
          <w:szCs w:val="20"/>
        </w:rPr>
      </w:pPr>
    </w:p>
    <w:p w:rsidR="006569DD" w:rsidRPr="00976F0C" w:rsidRDefault="00523D76" w:rsidP="000813AB">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Por lo tanto, de las documentales exhibidas por el sujeto obligado </w:t>
      </w:r>
      <w:r w:rsidR="00571B19" w:rsidRPr="00976F0C">
        <w:rPr>
          <w:rFonts w:cs="Arial"/>
          <w:color w:val="4BACC6" w:themeColor="accent5"/>
          <w:sz w:val="24"/>
          <w:szCs w:val="24"/>
        </w:rPr>
        <w:t>no s</w:t>
      </w:r>
      <w:r w:rsidR="00BA0F5C">
        <w:rPr>
          <w:rFonts w:cs="Arial"/>
          <w:color w:val="4BACC6" w:themeColor="accent5"/>
          <w:sz w:val="24"/>
          <w:szCs w:val="24"/>
        </w:rPr>
        <w:t>on</w:t>
      </w:r>
      <w:r w:rsidR="00571B19" w:rsidRPr="00976F0C">
        <w:rPr>
          <w:rFonts w:cs="Arial"/>
          <w:color w:val="4BACC6" w:themeColor="accent5"/>
          <w:sz w:val="24"/>
          <w:szCs w:val="24"/>
        </w:rPr>
        <w:t xml:space="preserve"> </w:t>
      </w:r>
      <w:r w:rsidR="001E317B" w:rsidRPr="00976F0C">
        <w:rPr>
          <w:rFonts w:cs="Arial"/>
          <w:color w:val="4BACC6" w:themeColor="accent5"/>
          <w:sz w:val="24"/>
          <w:szCs w:val="24"/>
        </w:rPr>
        <w:t>suficiente</w:t>
      </w:r>
      <w:r w:rsidR="00BA0F5C">
        <w:rPr>
          <w:rFonts w:cs="Arial"/>
          <w:color w:val="4BACC6" w:themeColor="accent5"/>
          <w:sz w:val="24"/>
          <w:szCs w:val="24"/>
        </w:rPr>
        <w:t>s</w:t>
      </w:r>
      <w:r w:rsidR="001E317B" w:rsidRPr="00976F0C">
        <w:rPr>
          <w:rFonts w:cs="Arial"/>
          <w:color w:val="4BACC6" w:themeColor="accent5"/>
          <w:sz w:val="24"/>
          <w:szCs w:val="24"/>
        </w:rPr>
        <w:t xml:space="preserve"> para colmar los extremos fijados en la resolución de mérito</w:t>
      </w:r>
      <w:r w:rsidR="00D21862" w:rsidRPr="00976F0C">
        <w:rPr>
          <w:rFonts w:cs="Arial"/>
          <w:color w:val="4BACC6" w:themeColor="accent5"/>
          <w:sz w:val="24"/>
          <w:szCs w:val="24"/>
        </w:rPr>
        <w:t xml:space="preserve"> </w:t>
      </w:r>
      <w:r w:rsidR="001E317B" w:rsidRPr="00976F0C">
        <w:rPr>
          <w:rFonts w:cs="Arial"/>
          <w:color w:val="4BACC6" w:themeColor="accent5"/>
          <w:sz w:val="24"/>
          <w:szCs w:val="24"/>
        </w:rPr>
        <w:t xml:space="preserve">y </w:t>
      </w:r>
      <w:r w:rsidR="00695310" w:rsidRPr="00976F0C">
        <w:rPr>
          <w:rFonts w:cs="Arial"/>
          <w:color w:val="4BACC6" w:themeColor="accent5"/>
          <w:sz w:val="24"/>
          <w:szCs w:val="24"/>
        </w:rPr>
        <w:t>p</w:t>
      </w:r>
      <w:r w:rsidR="00426890" w:rsidRPr="00976F0C">
        <w:rPr>
          <w:rFonts w:cs="Arial"/>
          <w:color w:val="4BACC6" w:themeColor="accent5"/>
          <w:sz w:val="24"/>
          <w:szCs w:val="24"/>
        </w:rPr>
        <w:t xml:space="preserve">or tanto se encuentra </w:t>
      </w:r>
      <w:r w:rsidR="00571B19" w:rsidRPr="00976F0C">
        <w:rPr>
          <w:rFonts w:cs="Arial"/>
          <w:color w:val="4BACC6" w:themeColor="accent5"/>
          <w:sz w:val="24"/>
          <w:szCs w:val="24"/>
        </w:rPr>
        <w:t>incumplida</w:t>
      </w:r>
      <w:r w:rsidR="006569DD" w:rsidRPr="00976F0C">
        <w:rPr>
          <w:rFonts w:cs="Arial"/>
          <w:color w:val="4BACC6" w:themeColor="accent5"/>
          <w:sz w:val="24"/>
          <w:szCs w:val="24"/>
        </w:rPr>
        <w:t xml:space="preserve">. </w:t>
      </w:r>
    </w:p>
    <w:p w:rsidR="005C7BA1" w:rsidRPr="00976F0C" w:rsidRDefault="005C7BA1" w:rsidP="00571B19">
      <w:pPr>
        <w:spacing w:after="0" w:line="360" w:lineRule="auto"/>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lastRenderedPageBreak/>
        <w:t xml:space="preserve">Por lo expuesto  y con fundamento en los artículos 27° primer párrafo, 184° segundo párrafo y 185 fracción I de la Ley de Transparencia y Acceso a la Información Pública del Estado, se tiene que la resolución emitida por el Pleno de esta Comisión  para este asunto </w:t>
      </w:r>
      <w:r w:rsidRPr="00976F0C">
        <w:rPr>
          <w:rFonts w:ascii="Arial" w:hAnsi="Arial" w:cs="Arial"/>
          <w:b/>
          <w:color w:val="4BACC6" w:themeColor="accent5"/>
          <w:sz w:val="24"/>
          <w:szCs w:val="24"/>
        </w:rPr>
        <w:t>se encuentra incumplida</w:t>
      </w:r>
      <w:r w:rsidRPr="00976F0C">
        <w:rPr>
          <w:rFonts w:ascii="Arial" w:hAnsi="Arial" w:cs="Arial"/>
          <w:color w:val="4BACC6" w:themeColor="accent5"/>
          <w:sz w:val="24"/>
          <w:szCs w:val="24"/>
        </w:rPr>
        <w:t xml:space="preserve"> y conmina al sujeto obligado a que dé cumplimiento en los precisos términos asentados en la misma, </w:t>
      </w:r>
      <w:r w:rsidRPr="00976F0C">
        <w:rPr>
          <w:rFonts w:ascii="Arial" w:hAnsi="Arial" w:cs="Arial"/>
          <w:color w:val="4BACC6" w:themeColor="accent5"/>
          <w:sz w:val="24"/>
          <w:szCs w:val="24"/>
          <w:u w:val="single"/>
        </w:rPr>
        <w:t>debiendo considerar las causas</w:t>
      </w:r>
      <w:r w:rsidRPr="00976F0C">
        <w:rPr>
          <w:rFonts w:ascii="Arial" w:hAnsi="Arial" w:cs="Arial"/>
          <w:color w:val="4BACC6" w:themeColor="accent5"/>
          <w:sz w:val="24"/>
          <w:szCs w:val="24"/>
        </w:rPr>
        <w:t xml:space="preserve"> por las que aquí se decreta el incumplimiento y atenderlas para otorgar el debido cumplimiento, de lo contrario se le apercibe que en caso de persistir el incumplimiento, se hará efectivo el apercibimiento al que se refiere la resolución dictada en el presente asunto, en los términos de Ley.</w:t>
      </w:r>
    </w:p>
    <w:p w:rsidR="005C7BA1" w:rsidRPr="00976F0C" w:rsidRDefault="005C7BA1"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Ahora bien, al tenor de lo establecido en el artículo 185 fracción II, con fundamento en el artículo 58 de la Ley de Transparencia que señala:</w:t>
      </w:r>
    </w:p>
    <w:p w:rsidR="005C7BA1" w:rsidRPr="00976F0C" w:rsidRDefault="005C7BA1" w:rsidP="005C7BA1">
      <w:pPr>
        <w:spacing w:after="0" w:line="360" w:lineRule="auto"/>
        <w:ind w:firstLine="709"/>
        <w:jc w:val="both"/>
        <w:rPr>
          <w:rFonts w:ascii="Arial" w:hAnsi="Arial" w:cs="Arial"/>
          <w:color w:val="4BACC6" w:themeColor="accent5"/>
          <w:sz w:val="24"/>
          <w:szCs w:val="24"/>
        </w:rPr>
      </w:pPr>
    </w:p>
    <w:p w:rsidR="005C7BA1" w:rsidRPr="000813AB" w:rsidRDefault="005C7BA1" w:rsidP="000813AB">
      <w:pPr>
        <w:spacing w:after="0" w:line="360" w:lineRule="auto"/>
        <w:ind w:firstLine="709"/>
        <w:jc w:val="both"/>
        <w:rPr>
          <w:rFonts w:ascii="Arial" w:hAnsi="Arial" w:cs="Arial"/>
          <w:i/>
          <w:color w:val="4BACC6" w:themeColor="accent5"/>
        </w:rPr>
      </w:pPr>
      <w:r w:rsidRPr="000813AB">
        <w:rPr>
          <w:rFonts w:ascii="Arial" w:hAnsi="Arial" w:cs="Arial"/>
          <w:i/>
          <w:color w:val="4BACC6" w:themeColor="accent5"/>
        </w:rPr>
        <w:t>“ARTÍCULO 58. Las unidades de transparencia acatarán las resoluciones,</w:t>
      </w:r>
      <w:r w:rsidR="000813AB" w:rsidRPr="000813AB">
        <w:rPr>
          <w:rFonts w:ascii="Arial" w:hAnsi="Arial" w:cs="Arial"/>
          <w:i/>
          <w:color w:val="4BACC6" w:themeColor="accent5"/>
        </w:rPr>
        <w:t xml:space="preserve"> </w:t>
      </w:r>
      <w:r w:rsidRPr="000813AB">
        <w:rPr>
          <w:rFonts w:ascii="Arial" w:hAnsi="Arial" w:cs="Arial"/>
          <w:i/>
          <w:color w:val="4BACC6" w:themeColor="accent5"/>
        </w:rPr>
        <w:t>disposiciones administrativas y requerimientos de informes que establezca el Comité de Transparencia, o la CEGAIP”</w:t>
      </w:r>
    </w:p>
    <w:p w:rsidR="005C7BA1" w:rsidRPr="00976F0C" w:rsidRDefault="005C7BA1" w:rsidP="005C7BA1">
      <w:pPr>
        <w:spacing w:after="0" w:line="360" w:lineRule="auto"/>
        <w:jc w:val="both"/>
        <w:rPr>
          <w:rFonts w:ascii="Arial" w:hAnsi="Arial" w:cs="Arial"/>
          <w:color w:val="4BACC6" w:themeColor="accent5"/>
          <w:sz w:val="24"/>
          <w:szCs w:val="24"/>
        </w:rPr>
      </w:pPr>
    </w:p>
    <w:p w:rsidR="0053726B" w:rsidRPr="008478C1" w:rsidRDefault="005C7BA1" w:rsidP="008478C1">
      <w:pPr>
        <w:spacing w:after="0" w:line="360" w:lineRule="auto"/>
        <w:ind w:firstLine="709"/>
        <w:jc w:val="both"/>
        <w:rPr>
          <w:rFonts w:ascii="Arial" w:hAnsi="Arial" w:cs="Arial"/>
          <w:b/>
          <w:color w:val="4BACC6" w:themeColor="accent5"/>
          <w:sz w:val="24"/>
          <w:szCs w:val="24"/>
        </w:rPr>
      </w:pPr>
      <w:r w:rsidRPr="00976F0C">
        <w:rPr>
          <w:rFonts w:ascii="Arial" w:hAnsi="Arial" w:cs="Arial"/>
          <w:color w:val="4BACC6" w:themeColor="accent5"/>
          <w:sz w:val="24"/>
          <w:szCs w:val="24"/>
        </w:rPr>
        <w:t xml:space="preserve">Se requiere al </w:t>
      </w:r>
      <w:r w:rsidR="00356C5A">
        <w:rPr>
          <w:rFonts w:ascii="Arial" w:hAnsi="Arial" w:cs="Arial"/>
          <w:b/>
          <w:color w:val="4BACC6" w:themeColor="accent5"/>
          <w:sz w:val="24"/>
          <w:szCs w:val="24"/>
        </w:rPr>
        <w:t>Titular de los Servicios de Salud en el Estado de San Luis Potosí</w:t>
      </w:r>
      <w:r w:rsidRPr="00976F0C">
        <w:rPr>
          <w:rFonts w:ascii="Arial" w:hAnsi="Arial" w:cs="Arial"/>
          <w:color w:val="4BACC6" w:themeColor="accent5"/>
          <w:sz w:val="24"/>
          <w:szCs w:val="24"/>
        </w:rPr>
        <w:t xml:space="preserve">, en virtud de ser el superior jerárquico del </w:t>
      </w:r>
      <w:r w:rsidRPr="00976F0C">
        <w:rPr>
          <w:rFonts w:ascii="Arial" w:hAnsi="Arial" w:cs="Arial"/>
          <w:b/>
          <w:color w:val="4BACC6" w:themeColor="accent5"/>
          <w:sz w:val="24"/>
          <w:szCs w:val="24"/>
        </w:rPr>
        <w:t xml:space="preserve">Titular de la Unidad de Transparencia </w:t>
      </w:r>
      <w:r w:rsidR="00471E37">
        <w:rPr>
          <w:rFonts w:ascii="Arial" w:hAnsi="Arial" w:cs="Arial"/>
          <w:b/>
          <w:color w:val="4BACC6" w:themeColor="accent5"/>
          <w:sz w:val="24"/>
          <w:szCs w:val="24"/>
        </w:rPr>
        <w:t>de los Servicios de Salud en el Estado de San Luis Potosí</w:t>
      </w:r>
      <w:r w:rsidRPr="00976F0C">
        <w:rPr>
          <w:rFonts w:ascii="Arial" w:hAnsi="Arial" w:cs="Arial"/>
          <w:color w:val="4BACC6" w:themeColor="accent5"/>
          <w:sz w:val="24"/>
          <w:szCs w:val="24"/>
        </w:rPr>
        <w:t>, a efecto de que en el término de 05 cinco días hábiles, los cuales de conformidad con lo establecido por el artículo 148 de la Ley de la materia, las notificaciones empezar</w:t>
      </w:r>
      <w:r w:rsidR="00090736" w:rsidRPr="00976F0C">
        <w:rPr>
          <w:rFonts w:ascii="Arial" w:hAnsi="Arial" w:cs="Arial"/>
          <w:color w:val="4BACC6" w:themeColor="accent5"/>
          <w:sz w:val="24"/>
          <w:szCs w:val="24"/>
        </w:rPr>
        <w:t>á</w:t>
      </w:r>
      <w:r w:rsidRPr="00976F0C">
        <w:rPr>
          <w:rFonts w:ascii="Arial" w:hAnsi="Arial" w:cs="Arial"/>
          <w:color w:val="4BACC6" w:themeColor="accent5"/>
          <w:sz w:val="24"/>
          <w:szCs w:val="24"/>
        </w:rPr>
        <w:t xml:space="preserve">n a transcurrir al día siguiente al que se practiquen, giré las instrucciones necesarias para que se otorgue el debido cumplimiento a la resolución dictada en el </w:t>
      </w:r>
      <w:r w:rsidRPr="00976F0C">
        <w:rPr>
          <w:rFonts w:ascii="Arial" w:hAnsi="Arial" w:cs="Arial"/>
          <w:b/>
          <w:color w:val="4BACC6" w:themeColor="accent5"/>
          <w:sz w:val="24"/>
          <w:szCs w:val="24"/>
        </w:rPr>
        <w:t xml:space="preserve">recurso de revisión </w:t>
      </w:r>
      <w:r w:rsidR="000813AB">
        <w:rPr>
          <w:rFonts w:ascii="Arial" w:hAnsi="Arial" w:cs="Arial"/>
          <w:b/>
          <w:color w:val="4BACC6" w:themeColor="accent5"/>
          <w:sz w:val="24"/>
          <w:szCs w:val="24"/>
        </w:rPr>
        <w:t>733</w:t>
      </w:r>
      <w:r w:rsidRPr="00976F0C">
        <w:rPr>
          <w:rFonts w:ascii="Arial" w:hAnsi="Arial" w:cs="Arial"/>
          <w:b/>
          <w:color w:val="4BACC6" w:themeColor="accent5"/>
          <w:sz w:val="24"/>
          <w:szCs w:val="24"/>
        </w:rPr>
        <w:t>/201</w:t>
      </w:r>
      <w:r w:rsidR="008478C1">
        <w:rPr>
          <w:rFonts w:ascii="Arial" w:hAnsi="Arial" w:cs="Arial"/>
          <w:b/>
          <w:color w:val="4BACC6" w:themeColor="accent5"/>
          <w:sz w:val="24"/>
          <w:szCs w:val="24"/>
        </w:rPr>
        <w:t>7</w:t>
      </w:r>
      <w:r w:rsidRPr="00976F0C">
        <w:rPr>
          <w:rFonts w:ascii="Arial" w:hAnsi="Arial" w:cs="Arial"/>
          <w:b/>
          <w:color w:val="4BACC6" w:themeColor="accent5"/>
          <w:sz w:val="24"/>
          <w:szCs w:val="24"/>
        </w:rPr>
        <w:t>-1</w:t>
      </w:r>
      <w:r w:rsidR="008478C1">
        <w:rPr>
          <w:rFonts w:ascii="Arial" w:hAnsi="Arial" w:cs="Arial"/>
          <w:b/>
          <w:color w:val="4BACC6" w:themeColor="accent5"/>
          <w:sz w:val="24"/>
          <w:szCs w:val="24"/>
        </w:rPr>
        <w:t xml:space="preserve"> </w:t>
      </w:r>
      <w:r w:rsidR="000813AB">
        <w:rPr>
          <w:rFonts w:ascii="Arial" w:hAnsi="Arial" w:cs="Arial"/>
          <w:b/>
          <w:color w:val="4BACC6" w:themeColor="accent5"/>
          <w:sz w:val="24"/>
          <w:szCs w:val="24"/>
        </w:rPr>
        <w:t>PLATAFORMA</w:t>
      </w:r>
      <w:r w:rsidRPr="00976F0C">
        <w:rPr>
          <w:rFonts w:ascii="Arial" w:hAnsi="Arial" w:cs="Arial"/>
          <w:color w:val="4BACC6" w:themeColor="accent5"/>
          <w:sz w:val="24"/>
          <w:szCs w:val="24"/>
        </w:rPr>
        <w:t xml:space="preserve">, tomando en cuenta las consideraciones vertidas en el presente proveído, </w:t>
      </w:r>
      <w:r w:rsidRPr="00976F0C">
        <w:rPr>
          <w:rFonts w:ascii="Arial" w:hAnsi="Arial" w:cs="Arial"/>
          <w:color w:val="4BACC6" w:themeColor="accent5"/>
          <w:sz w:val="24"/>
          <w:szCs w:val="24"/>
          <w:u w:val="single"/>
        </w:rPr>
        <w:t>debiendo remitir las constancias necesarias que acrediten el cabal cumplimiento a lo ordenado en la resolución dictada por este Órgano Colegiado, apercibido legalmente que en caso de no hacerlo se procederá en términos de lo establecido en los artículos 190 y 197 fracción XV de la Ley de Transparencia y Acceso a la Información Pública del Estado</w:t>
      </w:r>
      <w:r w:rsidRPr="00976F0C">
        <w:rPr>
          <w:rFonts w:ascii="Arial" w:hAnsi="Arial" w:cs="Arial"/>
          <w:color w:val="4BACC6" w:themeColor="accent5"/>
          <w:sz w:val="24"/>
          <w:szCs w:val="24"/>
        </w:rPr>
        <w:t>.</w:t>
      </w:r>
    </w:p>
    <w:p w:rsidR="0053726B" w:rsidRDefault="0053726B"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Pr="0053726B">
        <w:rPr>
          <w:rFonts w:ascii="Arial" w:hAnsi="Arial" w:cs="Arial"/>
          <w:b/>
          <w:color w:val="4BACC6" w:themeColor="accent5"/>
          <w:sz w:val="24"/>
          <w:szCs w:val="24"/>
        </w:rPr>
        <w:t>Notifíquese por lista y personalmente al sujeto obligado</w:t>
      </w:r>
      <w:r w:rsidRPr="00976F0C">
        <w:rPr>
          <w:rFonts w:ascii="Arial" w:hAnsi="Arial" w:cs="Arial"/>
          <w:color w:val="4BACC6" w:themeColor="accent5"/>
          <w:sz w:val="24"/>
          <w:szCs w:val="24"/>
        </w:rPr>
        <w:t>.</w:t>
      </w:r>
    </w:p>
    <w:p w:rsidR="005C7BA1" w:rsidRPr="00976F0C" w:rsidRDefault="005C7BA1" w:rsidP="004C415C">
      <w:pPr>
        <w:tabs>
          <w:tab w:val="left" w:pos="3795"/>
        </w:tabs>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lastRenderedPageBreak/>
        <w:t xml:space="preserve"> Así lo proveyó y firma el Comisionado Presidente de la Comisión Estatal de Garantía de Acceso a la Información Pública Alejandro Lafuente Torres, que actúa con Rosa María Motilla García, Secretaria de Pleno que da fe.</w:t>
      </w:r>
    </w:p>
    <w:bookmarkEnd w:id="0"/>
    <w:p w:rsidR="004F5CDC" w:rsidRPr="00976F0C" w:rsidRDefault="004F5CDC" w:rsidP="004F5CDC">
      <w:pPr>
        <w:spacing w:after="0" w:line="360" w:lineRule="auto"/>
        <w:jc w:val="both"/>
        <w:rPr>
          <w:rFonts w:ascii="Arial" w:hAnsi="Arial" w:cs="Arial"/>
          <w:b/>
          <w:color w:val="4BACC6" w:themeColor="accent5"/>
          <w:sz w:val="24"/>
          <w:szCs w:val="24"/>
        </w:rPr>
      </w:pPr>
    </w:p>
    <w:p w:rsidR="00976F0C" w:rsidRPr="00976F0C" w:rsidRDefault="00976F0C" w:rsidP="004F5CDC">
      <w:pPr>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b/>
          <w:color w:val="4BACC6" w:themeColor="accent5"/>
          <w:sz w:val="24"/>
          <w:szCs w:val="24"/>
        </w:rPr>
      </w:pPr>
    </w:p>
    <w:p w:rsidR="004F5CDC" w:rsidRPr="00976F0C" w:rsidRDefault="004F5CDC" w:rsidP="004F5CDC">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Alejandro Lafuente Torres</w:t>
      </w:r>
      <w:r w:rsidRPr="00976F0C">
        <w:rPr>
          <w:rFonts w:ascii="Arial" w:hAnsi="Arial" w:cs="Arial"/>
          <w:color w:val="4BACC6" w:themeColor="accent5"/>
          <w:sz w:val="24"/>
          <w:szCs w:val="24"/>
        </w:rPr>
        <w:t xml:space="preserve"> </w:t>
      </w:r>
      <w:r w:rsidRPr="00976F0C">
        <w:rPr>
          <w:rFonts w:ascii="Arial" w:hAnsi="Arial" w:cs="Arial"/>
          <w:b/>
          <w:color w:val="4BACC6" w:themeColor="accent5"/>
          <w:sz w:val="24"/>
          <w:szCs w:val="24"/>
          <w:lang w:val="es-ES"/>
        </w:rPr>
        <w:t xml:space="preserve">          Rosa María Motilla García</w:t>
      </w:r>
      <w:r w:rsidRPr="00976F0C">
        <w:rPr>
          <w:rFonts w:ascii="Arial" w:hAnsi="Arial" w:cs="Arial"/>
          <w:b/>
          <w:color w:val="4BACC6" w:themeColor="accent5"/>
          <w:sz w:val="24"/>
          <w:szCs w:val="24"/>
        </w:rPr>
        <w:t xml:space="preserve">        </w:t>
      </w:r>
    </w:p>
    <w:p w:rsidR="00845E58" w:rsidRPr="00976F0C" w:rsidRDefault="004F5CDC" w:rsidP="00845E58">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Comisionado Presidente                      </w:t>
      </w:r>
      <w:r w:rsidR="00845E58" w:rsidRPr="00976F0C">
        <w:rPr>
          <w:rFonts w:ascii="Arial" w:hAnsi="Arial" w:cs="Arial"/>
          <w:b/>
          <w:color w:val="4BACC6" w:themeColor="accent5"/>
          <w:sz w:val="24"/>
          <w:szCs w:val="24"/>
        </w:rPr>
        <w:t>Secretaria de Pleno</w:t>
      </w: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10456" w:rsidRDefault="00810456"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BA0F5C" w:rsidRDefault="00BA0F5C" w:rsidP="00845E58">
      <w:pPr>
        <w:spacing w:after="0" w:line="240" w:lineRule="auto"/>
        <w:ind w:firstLine="709"/>
        <w:jc w:val="both"/>
        <w:rPr>
          <w:rFonts w:ascii="Arial" w:hAnsi="Arial" w:cs="Arial"/>
          <w:color w:val="4BACC6" w:themeColor="accent5"/>
          <w:sz w:val="16"/>
          <w:szCs w:val="16"/>
        </w:rPr>
      </w:pPr>
    </w:p>
    <w:p w:rsidR="00BA0F5C" w:rsidRDefault="00BA0F5C" w:rsidP="00845E58">
      <w:pPr>
        <w:spacing w:after="0" w:line="240" w:lineRule="auto"/>
        <w:ind w:firstLine="709"/>
        <w:jc w:val="both"/>
        <w:rPr>
          <w:rFonts w:ascii="Arial" w:hAnsi="Arial" w:cs="Arial"/>
          <w:color w:val="4BACC6" w:themeColor="accent5"/>
          <w:sz w:val="16"/>
          <w:szCs w:val="16"/>
        </w:rPr>
      </w:pPr>
    </w:p>
    <w:p w:rsidR="00ED79E9" w:rsidRDefault="00ED79E9" w:rsidP="00845E58">
      <w:pPr>
        <w:spacing w:after="0" w:line="240" w:lineRule="auto"/>
        <w:ind w:firstLine="709"/>
        <w:jc w:val="both"/>
        <w:rPr>
          <w:rFonts w:ascii="Arial" w:hAnsi="Arial" w:cs="Arial"/>
          <w:color w:val="4BACC6" w:themeColor="accent5"/>
          <w:sz w:val="16"/>
          <w:szCs w:val="16"/>
        </w:rPr>
      </w:pPr>
    </w:p>
    <w:p w:rsidR="00ED79E9" w:rsidRDefault="00ED79E9" w:rsidP="00845E58">
      <w:pPr>
        <w:spacing w:after="0" w:line="240" w:lineRule="auto"/>
        <w:ind w:firstLine="709"/>
        <w:jc w:val="both"/>
        <w:rPr>
          <w:rFonts w:ascii="Arial" w:hAnsi="Arial" w:cs="Arial"/>
          <w:color w:val="4BACC6" w:themeColor="accent5"/>
          <w:sz w:val="16"/>
          <w:szCs w:val="16"/>
        </w:rPr>
      </w:pPr>
    </w:p>
    <w:p w:rsidR="00ED79E9" w:rsidRDefault="00ED79E9" w:rsidP="00845E58">
      <w:pPr>
        <w:spacing w:after="0" w:line="240" w:lineRule="auto"/>
        <w:ind w:firstLine="709"/>
        <w:jc w:val="both"/>
        <w:rPr>
          <w:rFonts w:ascii="Arial" w:hAnsi="Arial" w:cs="Arial"/>
          <w:color w:val="4BACC6" w:themeColor="accent5"/>
          <w:sz w:val="16"/>
          <w:szCs w:val="16"/>
        </w:rPr>
      </w:pPr>
    </w:p>
    <w:p w:rsidR="00ED79E9" w:rsidRDefault="00ED79E9" w:rsidP="00845E58">
      <w:pPr>
        <w:spacing w:after="0" w:line="240" w:lineRule="auto"/>
        <w:ind w:firstLine="709"/>
        <w:jc w:val="both"/>
        <w:rPr>
          <w:rFonts w:ascii="Arial" w:hAnsi="Arial" w:cs="Arial"/>
          <w:color w:val="4BACC6" w:themeColor="accent5"/>
          <w:sz w:val="16"/>
          <w:szCs w:val="16"/>
        </w:rPr>
      </w:pPr>
    </w:p>
    <w:p w:rsidR="00ED79E9" w:rsidRDefault="00ED79E9" w:rsidP="00845E58">
      <w:pPr>
        <w:spacing w:after="0" w:line="240" w:lineRule="auto"/>
        <w:ind w:firstLine="709"/>
        <w:jc w:val="both"/>
        <w:rPr>
          <w:rFonts w:ascii="Arial" w:hAnsi="Arial" w:cs="Arial"/>
          <w:color w:val="4BACC6" w:themeColor="accent5"/>
          <w:sz w:val="16"/>
          <w:szCs w:val="16"/>
        </w:rPr>
      </w:pPr>
    </w:p>
    <w:p w:rsidR="00ED79E9" w:rsidRDefault="00ED79E9" w:rsidP="00845E58">
      <w:pPr>
        <w:spacing w:after="0" w:line="240" w:lineRule="auto"/>
        <w:ind w:firstLine="709"/>
        <w:jc w:val="both"/>
        <w:rPr>
          <w:rFonts w:ascii="Arial" w:hAnsi="Arial" w:cs="Arial"/>
          <w:color w:val="4BACC6" w:themeColor="accent5"/>
          <w:sz w:val="16"/>
          <w:szCs w:val="16"/>
        </w:rPr>
      </w:pPr>
    </w:p>
    <w:p w:rsidR="00ED79E9" w:rsidRDefault="00ED79E9" w:rsidP="00845E58">
      <w:pPr>
        <w:spacing w:after="0" w:line="240" w:lineRule="auto"/>
        <w:ind w:firstLine="709"/>
        <w:jc w:val="both"/>
        <w:rPr>
          <w:rFonts w:ascii="Arial" w:hAnsi="Arial" w:cs="Arial"/>
          <w:color w:val="4BACC6" w:themeColor="accent5"/>
          <w:sz w:val="16"/>
          <w:szCs w:val="16"/>
        </w:rPr>
      </w:pPr>
    </w:p>
    <w:p w:rsidR="00976F0C" w:rsidRPr="00976F0C" w:rsidRDefault="00D72000" w:rsidP="00845E58">
      <w:pPr>
        <w:spacing w:after="0" w:line="240" w:lineRule="auto"/>
        <w:ind w:firstLine="709"/>
        <w:jc w:val="both"/>
        <w:rPr>
          <w:rFonts w:ascii="Arial" w:hAnsi="Arial" w:cs="Arial"/>
          <w:color w:val="4BACC6" w:themeColor="accent5"/>
          <w:sz w:val="16"/>
          <w:szCs w:val="16"/>
        </w:rPr>
      </w:pPr>
      <w:r w:rsidRPr="00976F0C">
        <w:rPr>
          <w:rFonts w:ascii="Arial" w:hAnsi="Arial" w:cs="Arial"/>
          <w:color w:val="4BACC6" w:themeColor="accent5"/>
          <w:sz w:val="16"/>
          <w:szCs w:val="16"/>
        </w:rPr>
        <w:t>O</w:t>
      </w:r>
      <w:r w:rsidR="00E32AE9" w:rsidRPr="00976F0C">
        <w:rPr>
          <w:rFonts w:ascii="Arial" w:hAnsi="Arial" w:cs="Arial"/>
          <w:color w:val="4BACC6" w:themeColor="accent5"/>
          <w:sz w:val="16"/>
          <w:szCs w:val="16"/>
        </w:rPr>
        <w:t>.</w:t>
      </w:r>
      <w:r w:rsidRPr="00976F0C">
        <w:rPr>
          <w:rFonts w:ascii="Arial" w:hAnsi="Arial" w:cs="Arial"/>
          <w:color w:val="4BACC6" w:themeColor="accent5"/>
          <w:sz w:val="16"/>
          <w:szCs w:val="16"/>
        </w:rPr>
        <w:t>R.E</w:t>
      </w:r>
      <w:r w:rsidR="00E32AE9" w:rsidRPr="00976F0C">
        <w:rPr>
          <w:rFonts w:ascii="Arial" w:hAnsi="Arial" w:cs="Arial"/>
          <w:color w:val="4BACC6" w:themeColor="accent5"/>
          <w:sz w:val="16"/>
          <w:szCs w:val="16"/>
        </w:rPr>
        <w:t>.</w:t>
      </w:r>
      <w:r w:rsidRPr="00976F0C">
        <w:rPr>
          <w:rFonts w:ascii="Arial" w:hAnsi="Arial" w:cs="Arial"/>
          <w:color w:val="4BACC6" w:themeColor="accent5"/>
          <w:sz w:val="16"/>
          <w:szCs w:val="16"/>
        </w:rPr>
        <w:t>J</w:t>
      </w:r>
      <w:r w:rsidR="00E32AE9" w:rsidRPr="00976F0C">
        <w:rPr>
          <w:rFonts w:ascii="Arial" w:hAnsi="Arial" w:cs="Arial"/>
          <w:color w:val="4BACC6" w:themeColor="accent5"/>
          <w:sz w:val="16"/>
          <w:szCs w:val="16"/>
        </w:rPr>
        <w:t>.</w:t>
      </w:r>
    </w:p>
    <w:p w:rsidR="00976F0C" w:rsidRPr="00976F0C" w:rsidRDefault="00976F0C" w:rsidP="00976F0C">
      <w:pPr>
        <w:rPr>
          <w:rFonts w:ascii="Arial" w:hAnsi="Arial" w:cs="Arial"/>
          <w:color w:val="4BACC6" w:themeColor="accent5"/>
          <w:sz w:val="16"/>
          <w:szCs w:val="16"/>
        </w:rPr>
      </w:pPr>
    </w:p>
    <w:p w:rsidR="00976F0C" w:rsidRPr="00976F0C" w:rsidRDefault="00976F0C" w:rsidP="00976F0C">
      <w:pPr>
        <w:tabs>
          <w:tab w:val="left" w:pos="900"/>
        </w:tabs>
        <w:rPr>
          <w:rFonts w:ascii="Arial" w:hAnsi="Arial" w:cs="Arial"/>
          <w:color w:val="4BACC6" w:themeColor="accent5"/>
          <w:sz w:val="16"/>
          <w:szCs w:val="16"/>
        </w:rPr>
      </w:pPr>
    </w:p>
    <w:p w:rsidR="00976F0C" w:rsidRPr="00976F0C" w:rsidRDefault="00976F0C" w:rsidP="00976F0C">
      <w:pPr>
        <w:tabs>
          <w:tab w:val="left" w:pos="900"/>
        </w:tabs>
        <w:rPr>
          <w:rFonts w:ascii="Arial" w:hAnsi="Arial" w:cs="Arial"/>
          <w:color w:val="4BACC6" w:themeColor="accent5"/>
          <w:sz w:val="16"/>
          <w:szCs w:val="16"/>
        </w:rPr>
      </w:pPr>
    </w:p>
    <w:p w:rsidR="00976F0C" w:rsidRPr="00976F0C" w:rsidRDefault="00976F0C" w:rsidP="00976F0C">
      <w:pPr>
        <w:tabs>
          <w:tab w:val="left" w:pos="900"/>
        </w:tabs>
        <w:jc w:val="both"/>
        <w:rPr>
          <w:rFonts w:ascii="Arial" w:hAnsi="Arial" w:cs="Arial"/>
          <w:color w:val="4BACC6" w:themeColor="accent5"/>
          <w:sz w:val="18"/>
          <w:szCs w:val="18"/>
        </w:rPr>
      </w:pPr>
      <w:r w:rsidRPr="00976F0C">
        <w:rPr>
          <w:rFonts w:ascii="Arial" w:hAnsi="Arial" w:cs="Arial"/>
          <w:color w:val="4BACC6" w:themeColor="accent5"/>
          <w:sz w:val="18"/>
          <w:szCs w:val="18"/>
        </w:rPr>
        <w:t xml:space="preserve">(Esta foja pertenece a la parte final del proveído de </w:t>
      </w:r>
      <w:r w:rsidR="000813AB">
        <w:rPr>
          <w:rFonts w:ascii="Arial" w:hAnsi="Arial" w:cs="Arial"/>
          <w:color w:val="4BACC6" w:themeColor="accent5"/>
          <w:sz w:val="18"/>
          <w:szCs w:val="18"/>
        </w:rPr>
        <w:t>quince</w:t>
      </w:r>
      <w:r w:rsidRPr="00976F0C">
        <w:rPr>
          <w:rFonts w:ascii="Arial" w:hAnsi="Arial" w:cs="Arial"/>
          <w:color w:val="4BACC6" w:themeColor="accent5"/>
          <w:sz w:val="18"/>
          <w:szCs w:val="18"/>
        </w:rPr>
        <w:t xml:space="preserve"> de </w:t>
      </w:r>
      <w:r w:rsidR="00BA0F5C">
        <w:rPr>
          <w:rFonts w:ascii="Arial" w:hAnsi="Arial" w:cs="Arial"/>
          <w:color w:val="4BACC6" w:themeColor="accent5"/>
          <w:sz w:val="18"/>
          <w:szCs w:val="18"/>
        </w:rPr>
        <w:t>febrero</w:t>
      </w:r>
      <w:r w:rsidRPr="00976F0C">
        <w:rPr>
          <w:rFonts w:ascii="Arial" w:hAnsi="Arial" w:cs="Arial"/>
          <w:color w:val="4BACC6" w:themeColor="accent5"/>
          <w:sz w:val="18"/>
          <w:szCs w:val="18"/>
        </w:rPr>
        <w:t xml:space="preserve"> de dos mil dieciocho, dentro del recurso de revisión </w:t>
      </w:r>
      <w:r w:rsidR="000813AB">
        <w:rPr>
          <w:rFonts w:ascii="Arial" w:hAnsi="Arial" w:cs="Arial"/>
          <w:color w:val="4BACC6" w:themeColor="accent5"/>
          <w:sz w:val="18"/>
          <w:szCs w:val="18"/>
        </w:rPr>
        <w:t>733</w:t>
      </w:r>
      <w:r w:rsidRPr="00976F0C">
        <w:rPr>
          <w:rFonts w:ascii="Arial" w:hAnsi="Arial" w:cs="Arial"/>
          <w:color w:val="4BACC6" w:themeColor="accent5"/>
          <w:sz w:val="18"/>
          <w:szCs w:val="18"/>
        </w:rPr>
        <w:t>/201</w:t>
      </w:r>
      <w:r w:rsidR="008478C1">
        <w:rPr>
          <w:rFonts w:ascii="Arial" w:hAnsi="Arial" w:cs="Arial"/>
          <w:color w:val="4BACC6" w:themeColor="accent5"/>
          <w:sz w:val="18"/>
          <w:szCs w:val="18"/>
        </w:rPr>
        <w:t>7</w:t>
      </w:r>
      <w:r w:rsidRPr="00976F0C">
        <w:rPr>
          <w:rFonts w:ascii="Arial" w:hAnsi="Arial" w:cs="Arial"/>
          <w:color w:val="4BACC6" w:themeColor="accent5"/>
          <w:sz w:val="18"/>
          <w:szCs w:val="18"/>
        </w:rPr>
        <w:t xml:space="preserve">-1 </w:t>
      </w:r>
      <w:r w:rsidR="000813AB">
        <w:rPr>
          <w:rFonts w:ascii="Arial" w:hAnsi="Arial" w:cs="Arial"/>
          <w:color w:val="4BACC6" w:themeColor="accent5"/>
          <w:sz w:val="18"/>
          <w:szCs w:val="18"/>
        </w:rPr>
        <w:t>PLATAFORMA</w:t>
      </w:r>
      <w:r w:rsidRPr="00976F0C">
        <w:rPr>
          <w:rFonts w:ascii="Arial" w:hAnsi="Arial" w:cs="Arial"/>
          <w:color w:val="4BACC6" w:themeColor="accent5"/>
          <w:sz w:val="18"/>
          <w:szCs w:val="18"/>
        </w:rPr>
        <w:t>).</w:t>
      </w:r>
    </w:p>
    <w:sectPr w:rsidR="00976F0C" w:rsidRPr="00976F0C"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656F" w:rsidRDefault="00E7656F" w:rsidP="00A04BCB">
      <w:pPr>
        <w:spacing w:after="0" w:line="240" w:lineRule="auto"/>
      </w:pPr>
      <w:r>
        <w:separator/>
      </w:r>
    </w:p>
  </w:endnote>
  <w:endnote w:type="continuationSeparator" w:id="0">
    <w:p w:rsidR="00E7656F" w:rsidRDefault="00E7656F"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656F" w:rsidRDefault="00E7656F" w:rsidP="00A04BCB">
      <w:pPr>
        <w:spacing w:after="0" w:line="240" w:lineRule="auto"/>
      </w:pPr>
      <w:r>
        <w:separator/>
      </w:r>
    </w:p>
  </w:footnote>
  <w:footnote w:type="continuationSeparator" w:id="0">
    <w:p w:rsidR="00E7656F" w:rsidRDefault="00E7656F"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5C18" w:rsidRDefault="002E5C18" w:rsidP="005D7E54">
    <w:pPr>
      <w:pStyle w:val="Encabezado"/>
      <w:jc w:val="right"/>
    </w:pPr>
    <w:r>
      <w:rPr>
        <w:rFonts w:ascii="Arial" w:hAnsi="Arial" w:cs="Arial"/>
        <w:b/>
      </w:rPr>
      <w:t>RR-</w:t>
    </w:r>
    <w:r w:rsidR="008E68F1">
      <w:rPr>
        <w:rFonts w:ascii="Arial" w:hAnsi="Arial" w:cs="Arial"/>
        <w:b/>
      </w:rPr>
      <w:t>733</w:t>
    </w:r>
    <w:r>
      <w:rPr>
        <w:rFonts w:ascii="Arial" w:hAnsi="Arial" w:cs="Arial"/>
        <w:b/>
      </w:rPr>
      <w:t>/201</w:t>
    </w:r>
    <w:r w:rsidR="00C0225E">
      <w:rPr>
        <w:rFonts w:ascii="Arial" w:hAnsi="Arial" w:cs="Arial"/>
        <w:b/>
      </w:rPr>
      <w:t>7</w:t>
    </w:r>
    <w:r>
      <w:rPr>
        <w:rFonts w:ascii="Arial" w:hAnsi="Arial" w:cs="Arial"/>
        <w:b/>
      </w:rPr>
      <w:t xml:space="preserve">-1 </w:t>
    </w:r>
    <w:r w:rsidR="008E68F1">
      <w:rPr>
        <w:rFonts w:ascii="Arial" w:hAnsi="Arial" w:cs="Arial"/>
        <w:b/>
      </w:rPr>
      <w:t>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C343B"/>
    <w:multiLevelType w:val="hybridMultilevel"/>
    <w:tmpl w:val="E9A885C6"/>
    <w:lvl w:ilvl="0" w:tplc="934C2FFC">
      <w:start w:val="1"/>
      <w:numFmt w:val="upperRoman"/>
      <w:lvlText w:val="%1."/>
      <w:lvlJc w:val="left"/>
      <w:pPr>
        <w:ind w:left="4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265CD9EE">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1BD62E5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085401A8">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CDF84D2A">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D1EA81DC">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620A8384">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C02C0A70">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A46A1ED2">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4" w15:restartNumberingAfterBreak="0">
    <w:nsid w:val="5D4315C9"/>
    <w:multiLevelType w:val="hybridMultilevel"/>
    <w:tmpl w:val="E02CA180"/>
    <w:lvl w:ilvl="0" w:tplc="44500E94">
      <w:start w:val="11"/>
      <w:numFmt w:val="upperRoman"/>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A22AC970">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4CE0A25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13FC1178">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A3184F0A">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98D0DD06">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F11413CA">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B4AA6F3E">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2520A772">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5" w15:restartNumberingAfterBreak="0">
    <w:nsid w:val="6DEF2D51"/>
    <w:multiLevelType w:val="hybridMultilevel"/>
    <w:tmpl w:val="881AF6E0"/>
    <w:lvl w:ilvl="0" w:tplc="A6CEBDE4">
      <w:start w:val="1"/>
      <w:numFmt w:val="lowerLetter"/>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654452EE">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D47C35B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B5C00252">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3EA80C10">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FF309616">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3A5C425E">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82EE5044">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CB1EDB82">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6"/>
  </w:num>
  <w:num w:numId="4">
    <w:abstractNumId w:val="16"/>
  </w:num>
  <w:num w:numId="5">
    <w:abstractNumId w:val="11"/>
  </w:num>
  <w:num w:numId="6">
    <w:abstractNumId w:val="9"/>
  </w:num>
  <w:num w:numId="7">
    <w:abstractNumId w:val="2"/>
  </w:num>
  <w:num w:numId="8">
    <w:abstractNumId w:val="13"/>
  </w:num>
  <w:num w:numId="9">
    <w:abstractNumId w:val="5"/>
  </w:num>
  <w:num w:numId="10">
    <w:abstractNumId w:val="1"/>
  </w:num>
  <w:num w:numId="11">
    <w:abstractNumId w:val="8"/>
  </w:num>
  <w:num w:numId="12">
    <w:abstractNumId w:val="12"/>
  </w:num>
  <w:num w:numId="13">
    <w:abstractNumId w:val="10"/>
  </w:num>
  <w:num w:numId="14">
    <w:abstractNumId w:val="7"/>
  </w:num>
  <w:num w:numId="15">
    <w:abstractNumId w:val="0"/>
  </w:num>
  <w:num w:numId="16">
    <w:abstractNumId w:val="1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80E25"/>
    <w:rsid w:val="000813AB"/>
    <w:rsid w:val="00090736"/>
    <w:rsid w:val="00090FF9"/>
    <w:rsid w:val="000A4472"/>
    <w:rsid w:val="000A4C73"/>
    <w:rsid w:val="000A4F5D"/>
    <w:rsid w:val="000B62C2"/>
    <w:rsid w:val="000B7F7D"/>
    <w:rsid w:val="000D6BBE"/>
    <w:rsid w:val="000D71A1"/>
    <w:rsid w:val="000F05B6"/>
    <w:rsid w:val="000F3254"/>
    <w:rsid w:val="000F3F6E"/>
    <w:rsid w:val="001032B9"/>
    <w:rsid w:val="00107646"/>
    <w:rsid w:val="00107F8A"/>
    <w:rsid w:val="00131EBD"/>
    <w:rsid w:val="00157759"/>
    <w:rsid w:val="00162EC6"/>
    <w:rsid w:val="00184E79"/>
    <w:rsid w:val="00196123"/>
    <w:rsid w:val="001A14C5"/>
    <w:rsid w:val="001A3205"/>
    <w:rsid w:val="001B2AEF"/>
    <w:rsid w:val="001C0739"/>
    <w:rsid w:val="001C5951"/>
    <w:rsid w:val="001C77AA"/>
    <w:rsid w:val="001D0198"/>
    <w:rsid w:val="001D03CA"/>
    <w:rsid w:val="001D16C6"/>
    <w:rsid w:val="001D46E8"/>
    <w:rsid w:val="001E317B"/>
    <w:rsid w:val="001E6128"/>
    <w:rsid w:val="001F0337"/>
    <w:rsid w:val="001F1B92"/>
    <w:rsid w:val="001F7935"/>
    <w:rsid w:val="00214DBA"/>
    <w:rsid w:val="002231D3"/>
    <w:rsid w:val="00224121"/>
    <w:rsid w:val="00226860"/>
    <w:rsid w:val="00232F24"/>
    <w:rsid w:val="00234400"/>
    <w:rsid w:val="002414D8"/>
    <w:rsid w:val="0024310C"/>
    <w:rsid w:val="002526F3"/>
    <w:rsid w:val="0025655D"/>
    <w:rsid w:val="00260481"/>
    <w:rsid w:val="00264CBC"/>
    <w:rsid w:val="00266ADC"/>
    <w:rsid w:val="002778EA"/>
    <w:rsid w:val="00286EF5"/>
    <w:rsid w:val="002A288D"/>
    <w:rsid w:val="002A6A30"/>
    <w:rsid w:val="002B40C2"/>
    <w:rsid w:val="002C38D0"/>
    <w:rsid w:val="002D0070"/>
    <w:rsid w:val="002D371A"/>
    <w:rsid w:val="002E4736"/>
    <w:rsid w:val="002E5C18"/>
    <w:rsid w:val="002F30EF"/>
    <w:rsid w:val="003032F5"/>
    <w:rsid w:val="003047E5"/>
    <w:rsid w:val="00331B9E"/>
    <w:rsid w:val="003332F1"/>
    <w:rsid w:val="00352A7B"/>
    <w:rsid w:val="00356C5A"/>
    <w:rsid w:val="00360ABE"/>
    <w:rsid w:val="0036214E"/>
    <w:rsid w:val="0037061E"/>
    <w:rsid w:val="00372881"/>
    <w:rsid w:val="0038176B"/>
    <w:rsid w:val="00381A32"/>
    <w:rsid w:val="00383735"/>
    <w:rsid w:val="0038592D"/>
    <w:rsid w:val="0039642A"/>
    <w:rsid w:val="003A0A70"/>
    <w:rsid w:val="003E3238"/>
    <w:rsid w:val="00400461"/>
    <w:rsid w:val="00402BE9"/>
    <w:rsid w:val="00404705"/>
    <w:rsid w:val="0041021C"/>
    <w:rsid w:val="00420313"/>
    <w:rsid w:val="00426890"/>
    <w:rsid w:val="00427953"/>
    <w:rsid w:val="004302FC"/>
    <w:rsid w:val="0044226A"/>
    <w:rsid w:val="004528ED"/>
    <w:rsid w:val="00453A8D"/>
    <w:rsid w:val="004659BD"/>
    <w:rsid w:val="004676F8"/>
    <w:rsid w:val="00467AA8"/>
    <w:rsid w:val="004711AB"/>
    <w:rsid w:val="00471E37"/>
    <w:rsid w:val="00472502"/>
    <w:rsid w:val="0047371E"/>
    <w:rsid w:val="004739C4"/>
    <w:rsid w:val="00485806"/>
    <w:rsid w:val="00491923"/>
    <w:rsid w:val="004935E2"/>
    <w:rsid w:val="0049533B"/>
    <w:rsid w:val="004C415C"/>
    <w:rsid w:val="004D0F1C"/>
    <w:rsid w:val="004D511E"/>
    <w:rsid w:val="004E386C"/>
    <w:rsid w:val="004F0206"/>
    <w:rsid w:val="004F08DC"/>
    <w:rsid w:val="004F5CDC"/>
    <w:rsid w:val="00500854"/>
    <w:rsid w:val="00515C6F"/>
    <w:rsid w:val="00523D76"/>
    <w:rsid w:val="005368E6"/>
    <w:rsid w:val="0053726B"/>
    <w:rsid w:val="0054206B"/>
    <w:rsid w:val="00552902"/>
    <w:rsid w:val="0055402B"/>
    <w:rsid w:val="00555BEA"/>
    <w:rsid w:val="00557692"/>
    <w:rsid w:val="0056284E"/>
    <w:rsid w:val="00570D95"/>
    <w:rsid w:val="00571B19"/>
    <w:rsid w:val="00580B07"/>
    <w:rsid w:val="005A2395"/>
    <w:rsid w:val="005C7BA1"/>
    <w:rsid w:val="005D2986"/>
    <w:rsid w:val="005D32BF"/>
    <w:rsid w:val="005D7E54"/>
    <w:rsid w:val="005E15B2"/>
    <w:rsid w:val="00605A77"/>
    <w:rsid w:val="00606D6E"/>
    <w:rsid w:val="00615017"/>
    <w:rsid w:val="00616C0D"/>
    <w:rsid w:val="00624699"/>
    <w:rsid w:val="00624ED9"/>
    <w:rsid w:val="00625D1B"/>
    <w:rsid w:val="006569DD"/>
    <w:rsid w:val="00661411"/>
    <w:rsid w:val="006653FC"/>
    <w:rsid w:val="00672BEE"/>
    <w:rsid w:val="00695310"/>
    <w:rsid w:val="006A4610"/>
    <w:rsid w:val="006B6741"/>
    <w:rsid w:val="006C78BB"/>
    <w:rsid w:val="006D050F"/>
    <w:rsid w:val="006D3BF1"/>
    <w:rsid w:val="006D4FCA"/>
    <w:rsid w:val="006E2236"/>
    <w:rsid w:val="006E478E"/>
    <w:rsid w:val="006E6735"/>
    <w:rsid w:val="006F5A3A"/>
    <w:rsid w:val="00702152"/>
    <w:rsid w:val="007121D0"/>
    <w:rsid w:val="00721663"/>
    <w:rsid w:val="00734EE5"/>
    <w:rsid w:val="00744113"/>
    <w:rsid w:val="007558D7"/>
    <w:rsid w:val="00763E45"/>
    <w:rsid w:val="00771755"/>
    <w:rsid w:val="00772104"/>
    <w:rsid w:val="00774BC8"/>
    <w:rsid w:val="00780A83"/>
    <w:rsid w:val="00785DA9"/>
    <w:rsid w:val="007A68AD"/>
    <w:rsid w:val="007A7692"/>
    <w:rsid w:val="007A777C"/>
    <w:rsid w:val="007B1813"/>
    <w:rsid w:val="007B30A9"/>
    <w:rsid w:val="007B520C"/>
    <w:rsid w:val="007C70EC"/>
    <w:rsid w:val="007E7137"/>
    <w:rsid w:val="007E7A46"/>
    <w:rsid w:val="008024C9"/>
    <w:rsid w:val="00803BF0"/>
    <w:rsid w:val="00810456"/>
    <w:rsid w:val="00813BA7"/>
    <w:rsid w:val="0082057A"/>
    <w:rsid w:val="008334F5"/>
    <w:rsid w:val="008343ED"/>
    <w:rsid w:val="00845E58"/>
    <w:rsid w:val="008478C1"/>
    <w:rsid w:val="00850170"/>
    <w:rsid w:val="00852028"/>
    <w:rsid w:val="0085470E"/>
    <w:rsid w:val="00874C83"/>
    <w:rsid w:val="0088125B"/>
    <w:rsid w:val="00891B6D"/>
    <w:rsid w:val="00896E43"/>
    <w:rsid w:val="00897B0C"/>
    <w:rsid w:val="008A6B41"/>
    <w:rsid w:val="008B15BA"/>
    <w:rsid w:val="008C22E2"/>
    <w:rsid w:val="008C649D"/>
    <w:rsid w:val="008D0A3C"/>
    <w:rsid w:val="008E68F1"/>
    <w:rsid w:val="008F388A"/>
    <w:rsid w:val="008F6149"/>
    <w:rsid w:val="009039C8"/>
    <w:rsid w:val="00906B75"/>
    <w:rsid w:val="009124C4"/>
    <w:rsid w:val="00922275"/>
    <w:rsid w:val="0092572B"/>
    <w:rsid w:val="00941158"/>
    <w:rsid w:val="00942A7C"/>
    <w:rsid w:val="0094536F"/>
    <w:rsid w:val="00976F0C"/>
    <w:rsid w:val="0098511D"/>
    <w:rsid w:val="009B23C6"/>
    <w:rsid w:val="009B7254"/>
    <w:rsid w:val="009C2B81"/>
    <w:rsid w:val="009C4466"/>
    <w:rsid w:val="009D0019"/>
    <w:rsid w:val="009D2BB8"/>
    <w:rsid w:val="009D3602"/>
    <w:rsid w:val="009E456E"/>
    <w:rsid w:val="009F00AF"/>
    <w:rsid w:val="00A04BCB"/>
    <w:rsid w:val="00A050F1"/>
    <w:rsid w:val="00A06A4A"/>
    <w:rsid w:val="00A24594"/>
    <w:rsid w:val="00A61517"/>
    <w:rsid w:val="00A62F8D"/>
    <w:rsid w:val="00A630A6"/>
    <w:rsid w:val="00A7066C"/>
    <w:rsid w:val="00A75DA0"/>
    <w:rsid w:val="00A8436E"/>
    <w:rsid w:val="00A94565"/>
    <w:rsid w:val="00AA5027"/>
    <w:rsid w:val="00AB0C8A"/>
    <w:rsid w:val="00AC1F24"/>
    <w:rsid w:val="00AC335A"/>
    <w:rsid w:val="00AD691E"/>
    <w:rsid w:val="00AE702D"/>
    <w:rsid w:val="00AF0D89"/>
    <w:rsid w:val="00B01F57"/>
    <w:rsid w:val="00B06769"/>
    <w:rsid w:val="00B10F22"/>
    <w:rsid w:val="00B11A7E"/>
    <w:rsid w:val="00B14364"/>
    <w:rsid w:val="00B4486D"/>
    <w:rsid w:val="00B4587C"/>
    <w:rsid w:val="00B52017"/>
    <w:rsid w:val="00B54825"/>
    <w:rsid w:val="00B55F7C"/>
    <w:rsid w:val="00B63E0B"/>
    <w:rsid w:val="00B71D1E"/>
    <w:rsid w:val="00B7246B"/>
    <w:rsid w:val="00B73016"/>
    <w:rsid w:val="00B84B92"/>
    <w:rsid w:val="00B977AB"/>
    <w:rsid w:val="00B97928"/>
    <w:rsid w:val="00BA0F5C"/>
    <w:rsid w:val="00BA2344"/>
    <w:rsid w:val="00BA353F"/>
    <w:rsid w:val="00BA55C4"/>
    <w:rsid w:val="00BB031B"/>
    <w:rsid w:val="00BF1949"/>
    <w:rsid w:val="00C0019F"/>
    <w:rsid w:val="00C0023E"/>
    <w:rsid w:val="00C003C0"/>
    <w:rsid w:val="00C0225E"/>
    <w:rsid w:val="00C07D4B"/>
    <w:rsid w:val="00C11D53"/>
    <w:rsid w:val="00C16EC4"/>
    <w:rsid w:val="00C23535"/>
    <w:rsid w:val="00C257BC"/>
    <w:rsid w:val="00C37176"/>
    <w:rsid w:val="00C42933"/>
    <w:rsid w:val="00C66E3D"/>
    <w:rsid w:val="00C70A3F"/>
    <w:rsid w:val="00C73D19"/>
    <w:rsid w:val="00C7664A"/>
    <w:rsid w:val="00C86357"/>
    <w:rsid w:val="00C96DC3"/>
    <w:rsid w:val="00CC57CD"/>
    <w:rsid w:val="00CD1802"/>
    <w:rsid w:val="00CE6391"/>
    <w:rsid w:val="00D05A2B"/>
    <w:rsid w:val="00D078E6"/>
    <w:rsid w:val="00D11CA5"/>
    <w:rsid w:val="00D13645"/>
    <w:rsid w:val="00D21862"/>
    <w:rsid w:val="00D315CC"/>
    <w:rsid w:val="00D5290F"/>
    <w:rsid w:val="00D550D5"/>
    <w:rsid w:val="00D72000"/>
    <w:rsid w:val="00D7336A"/>
    <w:rsid w:val="00DB05F1"/>
    <w:rsid w:val="00DB5F2A"/>
    <w:rsid w:val="00DB65D6"/>
    <w:rsid w:val="00DC105A"/>
    <w:rsid w:val="00DC55EF"/>
    <w:rsid w:val="00DD1315"/>
    <w:rsid w:val="00DE25E6"/>
    <w:rsid w:val="00DE6AB5"/>
    <w:rsid w:val="00DF5E66"/>
    <w:rsid w:val="00DF74E7"/>
    <w:rsid w:val="00E0126B"/>
    <w:rsid w:val="00E0173D"/>
    <w:rsid w:val="00E12808"/>
    <w:rsid w:val="00E135A8"/>
    <w:rsid w:val="00E135D9"/>
    <w:rsid w:val="00E15E88"/>
    <w:rsid w:val="00E30ECB"/>
    <w:rsid w:val="00E32AE9"/>
    <w:rsid w:val="00E43715"/>
    <w:rsid w:val="00E4433C"/>
    <w:rsid w:val="00E4590E"/>
    <w:rsid w:val="00E51C51"/>
    <w:rsid w:val="00E621C8"/>
    <w:rsid w:val="00E66DB6"/>
    <w:rsid w:val="00E7656F"/>
    <w:rsid w:val="00E8006D"/>
    <w:rsid w:val="00E828C8"/>
    <w:rsid w:val="00E84556"/>
    <w:rsid w:val="00E91BBA"/>
    <w:rsid w:val="00E94C22"/>
    <w:rsid w:val="00E95910"/>
    <w:rsid w:val="00EA3D66"/>
    <w:rsid w:val="00EB06E0"/>
    <w:rsid w:val="00EC4BDD"/>
    <w:rsid w:val="00ED382A"/>
    <w:rsid w:val="00ED7190"/>
    <w:rsid w:val="00ED79E9"/>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C4B60"/>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 w:id="146388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8830D-C716-4362-990A-3E84B050E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1122</Words>
  <Characters>6176</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2</cp:revision>
  <cp:lastPrinted>2017-12-21T17:11:00Z</cp:lastPrinted>
  <dcterms:created xsi:type="dcterms:W3CDTF">2018-02-15T18:51:00Z</dcterms:created>
  <dcterms:modified xsi:type="dcterms:W3CDTF">2018-02-15T18:51:00Z</dcterms:modified>
</cp:coreProperties>
</file>